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浏阳市腾退村庄建设用地相关指标收益权评估报告编制</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sz w:val="32"/>
        </w:rPr>
      </w:pPr>
    </w:p>
    <w:p>
      <w:pPr>
        <w:overflowPunct w:val="0"/>
        <w:ind w:firstLine="420"/>
        <w:rPr>
          <w:rFonts w:ascii="宋体" w:hAnsi="宋体" w:eastAsia="宋体" w:cs="宋体"/>
          <w:color w:val="auto"/>
          <w:sz w:val="32"/>
        </w:rPr>
      </w:pPr>
    </w:p>
    <w:p>
      <w:pPr>
        <w:overflowPunct w:val="0"/>
        <w:rPr>
          <w:rFonts w:ascii="宋体" w:hAnsi="宋体" w:eastAsia="宋体" w:cs="宋体"/>
          <w:color w:val="auto"/>
          <w:sz w:val="32"/>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浏阳市乡村振兴产业投资有限公司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浏阳市腾退村庄建设用地相关指标收益权评估报告编制</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bookmarkStart w:id="1" w:name="OLE_LINK6"/>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浏阳市腾退村庄建设用地相关指标收益权评估报告编制</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2" w:name="OLE_LINK4"/>
      <w:bookmarkStart w:id="3" w:name="OLE_LINK1"/>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：480000.00</w:t>
      </w:r>
      <w:r>
        <w:rPr>
          <w:rFonts w:hint="eastAsia" w:ascii="宋体" w:hAnsi="宋体" w:eastAsia="宋体" w:cs="宋体"/>
          <w:b w:val="0"/>
          <w:bCs w:val="0"/>
          <w:color w:val="auto"/>
          <w:kern w:val="2"/>
          <w:sz w:val="24"/>
          <w:szCs w:val="24"/>
          <w:lang w:val="en-US" w:eastAsia="zh-CN" w:bidi="ar-SA"/>
        </w:rPr>
        <w:t>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完成浏阳市腾退村庄建设用地相关指标收益权价值评估，并出具评估报告。</w:t>
      </w:r>
      <w:bookmarkEnd w:id="2"/>
    </w:p>
    <w:bookmarkEnd w:id="3"/>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2024年7月至2024年9月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：具有相关部门颁发的证券期货相关业务评估资格证书（有效期内）</w:t>
      </w:r>
      <w:r>
        <w:rPr>
          <w:rFonts w:hint="eastAsia" w:ascii="宋体" w:hAnsi="宋体" w:eastAsia="宋体" w:cs="宋体"/>
          <w:b/>
          <w:bCs/>
          <w:color w:val="auto"/>
          <w:spacing w:val="-2"/>
          <w:kern w:val="2"/>
          <w:sz w:val="24"/>
          <w:szCs w:val="24"/>
          <w:lang w:val="en-US" w:eastAsia="zh-CN" w:bidi="ar-SA"/>
        </w:rPr>
        <w:t>。</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10</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29</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9:00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10</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29</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9:00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2024年10月24日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bookmarkStart w:id="4" w:name="OLE_LINK5"/>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中标方应在公示期结束后7日内与招标人对接，并完成采购合同签订。逾期未签订的，视为放弃中标。投标人放弃中标的，投标保证金不予退还，且在3年内不得参与浏发集团及下属公司任何项目的招标采购活动。</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5"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4.1.投标人必须在投标截止时间前，缴纳玖仟陆佰元整（￥9600）投标保证金，否则拒收其投标文件。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户名：浏阳市乡村振兴产业投资有限公司 </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银行：湖南浏阳江淮村镇银行股份有限公司人民支行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账号：20010292357466600000013</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5"/>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4"/>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浏阳市乡村振兴产业投资有限公司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13874995334</w:t>
      </w:r>
    </w:p>
    <w:p>
      <w:pPr>
        <w:pStyle w:val="2"/>
        <w:rPr>
          <w:rFonts w:hint="default"/>
          <w:color w:val="auto"/>
          <w:lang w:val="en-US" w:eastAsia="zh-CN"/>
        </w:rPr>
      </w:pP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10</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21</w:t>
      </w:r>
      <w:r>
        <w:rPr>
          <w:rFonts w:hint="eastAsia" w:ascii="宋体" w:hAnsi="宋体" w:eastAsia="宋体" w:cs="Times New Roman"/>
          <w:color w:val="auto"/>
          <w:sz w:val="24"/>
          <w:szCs w:val="24"/>
        </w:rPr>
        <w:t>日</w:t>
      </w:r>
      <w:bookmarkEnd w:id="0"/>
      <w:bookmarkEnd w:id="1"/>
    </w:p>
    <w:p>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浏阳市腾退村庄建设用地相关指标收益权评估报告编制</w:t>
      </w:r>
    </w:p>
    <w:p>
      <w:pPr>
        <w:widowControl/>
        <w:shd w:val="clear" w:color="auto" w:fill="FFFFFF"/>
        <w:spacing w:before="100" w:beforeAutospacing="1" w:after="100" w:afterAutospacing="1" w:line="440" w:lineRule="exact"/>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 标 文 件</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湖南林三建筑科技有限公司受浏阳市乡村振兴产业投资有限公司委托，就其</w:t>
      </w:r>
      <w:r>
        <w:rPr>
          <w:rFonts w:hint="eastAsia" w:ascii="宋体" w:hAnsi="宋体" w:eastAsia="宋体" w:cs="宋体"/>
          <w:color w:val="auto"/>
          <w:kern w:val="2"/>
          <w:sz w:val="24"/>
          <w:szCs w:val="24"/>
          <w:lang w:val="en-US" w:eastAsia="zh-CN" w:bidi="ar-SA"/>
        </w:rPr>
        <w:t>浏阳市腾退村庄建设用地相关指标收益权评估报告编制</w:t>
      </w:r>
      <w:r>
        <w:rPr>
          <w:rFonts w:hint="eastAsia" w:ascii="宋体" w:hAnsi="宋体" w:eastAsia="宋体" w:cs="宋体"/>
          <w:color w:val="auto"/>
          <w:kern w:val="0"/>
          <w:sz w:val="24"/>
          <w:szCs w:val="24"/>
          <w:lang w:val="en-US" w:eastAsia="zh-CN" w:bidi="ar-SA"/>
        </w:rPr>
        <w:t>进行采购，现进行公开招标。</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完成浏阳市腾退村庄建设用地相关指标收益权价值评估，并出具评估报告。</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在招标人提供完整资料之日起 30工作日内完成。</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五、服务要求：</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1、中标人应是具有相关评估资质的评估机构</w:t>
      </w:r>
      <w:r>
        <w:rPr>
          <w:rFonts w:hint="eastAsia" w:ascii="宋体" w:hAnsi="宋体" w:eastAsia="宋体" w:cs="宋体"/>
          <w:bCs/>
          <w:color w:val="auto"/>
          <w:kern w:val="0"/>
          <w:sz w:val="24"/>
          <w:szCs w:val="24"/>
          <w:lang w:val="en-US" w:eastAsia="zh-CN" w:bidi="ar-SA"/>
        </w:rPr>
        <w:t>。</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2、中标人对评估资料的真实性、合法性负责；中标人对评估报告书的公允性、合法性负责，并对招标人提供的资料保密。</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bCs/>
          <w:color w:val="auto"/>
          <w:kern w:val="0"/>
          <w:sz w:val="24"/>
          <w:szCs w:val="24"/>
          <w:lang w:val="en-US" w:eastAsia="zh-CN" w:bidi="ar-SA"/>
        </w:rPr>
      </w:pPr>
      <w:r>
        <w:rPr>
          <w:rFonts w:hint="default" w:ascii="宋体" w:hAnsi="宋体" w:eastAsia="宋体" w:cs="宋体"/>
          <w:bCs/>
          <w:color w:val="auto"/>
          <w:kern w:val="0"/>
          <w:sz w:val="24"/>
          <w:szCs w:val="24"/>
          <w:lang w:val="en-US" w:eastAsia="zh-CN" w:bidi="ar-SA"/>
        </w:rPr>
        <w:t>3、中标人应在招标人提供完整资料之日起 30工作日内向招标人出具评估报告书 3份。</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7月至2024年9月）依法缴纳税收的证明（纳税凭证复印件），或者委托他人缴纳的委托代办协议和近三个月内任意一个月（2024年7月至2024年9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宋体"/>
          <w:b/>
          <w:bCs/>
          <w:color w:val="auto"/>
          <w:spacing w:val="-2"/>
          <w:kern w:val="0"/>
          <w:sz w:val="24"/>
          <w:szCs w:val="24"/>
          <w:lang w:val="en-US" w:eastAsia="zh-CN" w:bidi="ar-SA"/>
        </w:rPr>
        <w:t>6.2、特定资格条件：</w:t>
      </w:r>
      <w:r>
        <w:rPr>
          <w:rFonts w:hint="eastAsia" w:ascii="宋体" w:hAnsi="宋体" w:eastAsia="宋体" w:cs="Times New Roman"/>
          <w:b/>
          <w:bCs/>
          <w:color w:val="auto"/>
          <w:kern w:val="2"/>
          <w:sz w:val="24"/>
          <w:szCs w:val="24"/>
          <w:lang w:val="en-US" w:eastAsia="zh-CN" w:bidi="ar-SA"/>
        </w:rPr>
        <w:t>具有相关部门颁发的证券期货相关业务评估资格证书（有效期内）。</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6.3、投标人有下列情形之一的，视为无效投标：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：480000.00元</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bookmarkStart w:id="6" w:name="_Toc401742306"/>
      <w:bookmarkStart w:id="7" w:name="_Toc359570304"/>
      <w:r>
        <w:rPr>
          <w:rFonts w:hint="eastAsia" w:ascii="宋体" w:hAnsi="宋体" w:eastAsia="宋体" w:cs="宋体"/>
          <w:b/>
          <w:bCs w:val="0"/>
          <w:color w:val="auto"/>
          <w:kern w:val="2"/>
          <w:sz w:val="24"/>
          <w:szCs w:val="24"/>
          <w:lang w:val="en-US" w:eastAsia="zh-CN" w:bidi="ar-SA"/>
        </w:rPr>
        <w:t>其他要求：</w:t>
      </w:r>
      <w:bookmarkEnd w:id="6"/>
      <w:bookmarkEnd w:id="7"/>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9.1、验收</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9.2、结算方法</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9.2.1、付款人：浏阳市乡村振兴产业投资有限公司</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9.2.2、付款方式：提交报告成果经招标人确认后一次性支付款项。</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9.4、特别说明</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9.4.1中标人自中标之日起7日内须与招标人联系并签订合同，否则视为自动放弃中标。</w:t>
      </w:r>
    </w:p>
    <w:p>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9.4.2中标人未在约定期限内出具评估报告，每逾期一天，支付违约金200元，逾期7日以上，招标人有权单方解除合同，并要求受托费支付按评估收费30%计算的违约金。</w:t>
      </w:r>
      <w:bookmarkStart w:id="13" w:name="_GoBack"/>
      <w:bookmarkEnd w:id="13"/>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9.4.3中标人在评估现场进行评估所发生的交通、住宿、餐饮等费用均包含在评估费内，招标人不在另行支付任何费用。</w:t>
      </w:r>
    </w:p>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十一、投标文件递交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10</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8" w:name="_Toc300677995"/>
      <w:bookmarkStart w:id="9"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浏阳市乡村振兴产业投资有限公司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8"/>
    <w:bookmarkEnd w:id="9"/>
    <w:p>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浏阳市腾退村庄建设用地相关指标收益权评估报告编制</w:t>
      </w:r>
    </w:p>
    <w:p>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widowControl/>
        <w:overflowPunct w:val="0"/>
        <w:rPr>
          <w:rFonts w:ascii="仿宋_GB2312" w:hAnsi="Times New Roman" w:eastAsia="仿宋_GB2312" w:cs="Times New Roman"/>
          <w:color w:val="auto"/>
          <w:sz w:val="32"/>
        </w:rPr>
      </w:pPr>
    </w:p>
    <w:p>
      <w:pPr>
        <w:overflowPunct w:val="0"/>
        <w:jc w:val="left"/>
        <w:rPr>
          <w:rFonts w:ascii="黑体" w:hAnsi="Times New Roman" w:eastAsia="黑体" w:cs="Times New Roman"/>
          <w:color w:val="auto"/>
          <w:sz w:val="24"/>
          <w:szCs w:val="28"/>
        </w:rPr>
      </w:pPr>
    </w:p>
    <w:p>
      <w:pPr>
        <w:overflowPunct w:val="0"/>
        <w:jc w:val="left"/>
        <w:rPr>
          <w:rFonts w:ascii="黑体" w:hAnsi="Times New Roman" w:eastAsia="黑体" w:cs="Times New Roman"/>
          <w:color w:val="auto"/>
          <w:sz w:val="24"/>
          <w:szCs w:val="28"/>
        </w:rPr>
      </w:pPr>
    </w:p>
    <w:p>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s="Times New Roman"/>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3"/>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pPr>
              <w:spacing w:line="700" w:lineRule="exact"/>
              <w:jc w:val="center"/>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浏阳市腾退村庄建设用地相关指标收益权评估报告编制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bCs/>
                <w:color w:val="auto"/>
                <w:sz w:val="24"/>
                <w:lang w:val="en-US" w:eastAsia="zh-CN"/>
              </w:rPr>
              <w:t>在招标人提供完整资料之日起 30工作日内完成</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pStyle w:val="6"/>
        <w:rPr>
          <w:rFonts w:hint="eastAsia"/>
          <w:color w:val="auto"/>
          <w:lang w:val="en-US" w:eastAsia="zh-CN"/>
        </w:rPr>
      </w:pPr>
    </w:p>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389"/>
        <w:gridCol w:w="1303"/>
        <w:gridCol w:w="1262"/>
        <w:gridCol w:w="1716"/>
        <w:gridCol w:w="20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center"/>
        <w:rPr>
          <w:rFonts w:hint="eastAsia" w:ascii="宋体" w:hAnsi="宋体" w:eastAsia="宋体" w:cs="宋体"/>
          <w:b/>
          <w:color w:val="auto"/>
          <w:sz w:val="32"/>
          <w:szCs w:val="32"/>
        </w:rPr>
      </w:pPr>
    </w:p>
    <w:p>
      <w:pPr>
        <w:adjustRightInd w:val="0"/>
        <w:snapToGrid w:val="0"/>
        <w:spacing w:line="360" w:lineRule="auto"/>
        <w:jc w:val="both"/>
        <w:rPr>
          <w:rFonts w:hint="eastAsia" w:ascii="宋体" w:hAnsi="宋体" w:eastAsia="宋体" w:cs="宋体"/>
          <w:b/>
          <w:color w:val="auto"/>
          <w:sz w:val="32"/>
          <w:szCs w:val="32"/>
        </w:rPr>
      </w:pPr>
    </w:p>
    <w:p>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pPr>
        <w:adjustRightInd w:val="0"/>
        <w:snapToGrid w:val="0"/>
        <w:ind w:left="-88" w:leftChars="-42" w:firstLine="281" w:firstLineChars="100"/>
        <w:jc w:val="center"/>
        <w:rPr>
          <w:rFonts w:ascii="宋体" w:hAnsi="宋体" w:eastAsia="宋体" w:cs="Times New Roman"/>
          <w:b/>
          <w:bCs/>
          <w:color w:val="auto"/>
          <w:sz w:val="28"/>
          <w:szCs w:val="28"/>
        </w:rPr>
      </w:pPr>
    </w:p>
    <w:p>
      <w:pPr>
        <w:adjustRightInd w:val="0"/>
        <w:snapToGrid w:val="0"/>
        <w:ind w:left="-88" w:leftChars="-42" w:firstLine="210" w:firstLineChars="100"/>
        <w:rPr>
          <w:rFonts w:ascii="宋体" w:hAnsi="宋体" w:eastAsia="宋体" w:cs="Times New Roman"/>
          <w:bCs/>
          <w:color w:val="auto"/>
          <w:sz w:val="21"/>
          <w:szCs w:val="21"/>
        </w:rPr>
      </w:pPr>
    </w:p>
    <w:p>
      <w:pPr>
        <w:adjustRightInd w:val="0"/>
        <w:snapToGrid w:val="0"/>
        <w:ind w:left="-88" w:leftChars="-42" w:firstLine="210" w:firstLineChars="100"/>
        <w:rPr>
          <w:rFonts w:ascii="宋体" w:hAnsi="宋体" w:eastAsia="宋体" w:cs="Times New Roman"/>
          <w:color w:val="auto"/>
          <w:sz w:val="21"/>
          <w:szCs w:val="21"/>
        </w:rPr>
      </w:pPr>
    </w:p>
    <w:p>
      <w:pPr>
        <w:adjustRightInd w:val="0"/>
        <w:snapToGrid w:val="0"/>
        <w:ind w:left="-88"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rPr>
            </w:pPr>
          </w:p>
        </w:tc>
      </w:tr>
    </w:tbl>
    <w:p>
      <w:pPr>
        <w:rPr>
          <w:rFonts w:hint="eastAsia" w:ascii="Times New Roman" w:hAnsi="Times New Roman" w:eastAsia="宋体" w:cs="Times New Roman"/>
          <w:color w:val="auto"/>
          <w:sz w:val="24"/>
          <w:szCs w:val="24"/>
        </w:rPr>
      </w:pP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adjustRightInd w:val="0"/>
        <w:snapToGrid w:val="0"/>
        <w:ind w:left="-88" w:leftChars="-42"/>
        <w:rPr>
          <w:rFonts w:ascii="宋体" w:hAnsi="宋体" w:eastAsia="宋体" w:cs="Times New Roman"/>
          <w:color w:val="auto"/>
          <w:sz w:val="24"/>
          <w:szCs w:val="24"/>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widowControl w:val="0"/>
        <w:ind w:firstLine="480" w:firstLineChars="200"/>
        <w:jc w:val="both"/>
        <w:rPr>
          <w:rFonts w:ascii="宋体" w:hAnsi="宋体" w:eastAsia="宋体" w:cs="Times New Roman"/>
          <w:color w:val="auto"/>
          <w:kern w:val="2"/>
          <w:sz w:val="24"/>
          <w:szCs w:val="24"/>
          <w:lang w:val="en-US" w:eastAsia="zh-CN" w:bidi="ar-SA"/>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0" w:name="_Toc281562938"/>
      <w:bookmarkStart w:id="11" w:name="_Toc235592960"/>
      <w:bookmarkStart w:id="12"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0"/>
      <w:bookmarkEnd w:id="11"/>
      <w:bookmarkEnd w:id="12"/>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pPr>
        <w:spacing w:line="400" w:lineRule="exact"/>
        <w:rPr>
          <w:rFonts w:hint="eastAsia" w:ascii="宋体" w:hAnsi="宋体" w:eastAsia="宋体" w:cs="宋体"/>
          <w:color w:val="auto"/>
          <w:sz w:val="32"/>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spacing w:line="480" w:lineRule="exact"/>
        <w:rPr>
          <w:rFonts w:hint="eastAsia" w:ascii="黑体" w:hAnsi="Times New Roman" w:eastAsia="黑体" w:cs="Times New Roman"/>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rPr>
          <w:rFonts w:ascii="仿宋_GB2312" w:hAnsi="Times New Roman" w:eastAsia="仿宋_GB2312" w:cs="Times New Roman"/>
          <w:color w:val="auto"/>
          <w:sz w:val="32"/>
        </w:rPr>
      </w:pPr>
    </w:p>
    <w:p>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6BAC26DB"/>
    <w:multiLevelType w:val="singleLevel"/>
    <w:tmpl w:val="6BAC26D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FA45D7"/>
    <w:rsid w:val="05066B4B"/>
    <w:rsid w:val="15FC5BCD"/>
    <w:rsid w:val="1E256308"/>
    <w:rsid w:val="228C58B4"/>
    <w:rsid w:val="2AB37954"/>
    <w:rsid w:val="350F1133"/>
    <w:rsid w:val="36E25286"/>
    <w:rsid w:val="37210F1A"/>
    <w:rsid w:val="39822409"/>
    <w:rsid w:val="39CE5B60"/>
    <w:rsid w:val="3C1349BD"/>
    <w:rsid w:val="4BA91A77"/>
    <w:rsid w:val="4D6B792C"/>
    <w:rsid w:val="50884351"/>
    <w:rsid w:val="50DF16BE"/>
    <w:rsid w:val="50E46660"/>
    <w:rsid w:val="55F93DFD"/>
    <w:rsid w:val="568C4808"/>
    <w:rsid w:val="5D6F463D"/>
    <w:rsid w:val="6606399F"/>
    <w:rsid w:val="6EDB6AE2"/>
    <w:rsid w:val="7275753E"/>
    <w:rsid w:val="732E79F9"/>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6356</Words>
  <Characters>6671</Characters>
  <Lines>0</Lines>
  <Paragraphs>0</Paragraphs>
  <TotalTime>2</TotalTime>
  <ScaleCrop>false</ScaleCrop>
  <LinksUpToDate>false</LinksUpToDate>
  <CharactersWithSpaces>7819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dcterms:modified xsi:type="dcterms:W3CDTF">2024-10-25T02:02:07Z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