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2"/>
          <w:szCs w:val="32"/>
        </w:rPr>
      </w:pPr>
    </w:p>
    <w:p>
      <w:pPr>
        <w:jc w:val="center"/>
        <w:rPr>
          <w:rFonts w:ascii="宋体" w:hAnsi="宋体"/>
          <w:b/>
          <w:sz w:val="32"/>
          <w:szCs w:val="32"/>
        </w:rPr>
      </w:pPr>
      <w:r>
        <w:rPr>
          <w:rFonts w:hint="eastAsia" w:ascii="仿宋" w:hAnsi="仿宋" w:eastAsia="仿宋"/>
          <w:b/>
          <w:sz w:val="28"/>
          <w:szCs w:val="28"/>
        </w:rPr>
        <w:t xml:space="preserve">                           </w:t>
      </w:r>
    </w:p>
    <w:p>
      <w:pPr>
        <w:rPr>
          <w:rFonts w:ascii="宋体" w:hAnsi="宋体"/>
          <w:b/>
          <w:sz w:val="32"/>
          <w:szCs w:val="32"/>
        </w:rPr>
      </w:pPr>
    </w:p>
    <w:p>
      <w:pPr>
        <w:rPr>
          <w:rFonts w:ascii="宋体" w:hAnsi="宋体"/>
          <w:b/>
          <w:sz w:val="32"/>
          <w:szCs w:val="32"/>
        </w:rPr>
      </w:pPr>
    </w:p>
    <w:p>
      <w:pPr>
        <w:ind w:left="-718" w:leftChars="-342" w:firstLine="193"/>
        <w:jc w:val="center"/>
        <w:rPr>
          <w:rFonts w:hint="eastAsia" w:ascii="宋体" w:hAnsi="宋体"/>
          <w:b/>
          <w:sz w:val="44"/>
          <w:szCs w:val="44"/>
        </w:rPr>
      </w:pPr>
      <w:r>
        <w:rPr>
          <w:rFonts w:hint="eastAsia" w:ascii="宋体" w:hAnsi="宋体"/>
          <w:b/>
          <w:sz w:val="44"/>
          <w:szCs w:val="44"/>
          <w:lang w:eastAsia="zh-CN"/>
        </w:rPr>
        <w:t>浏阳市浏发矿业发展有限</w:t>
      </w:r>
      <w:r>
        <w:rPr>
          <w:rFonts w:hint="eastAsia" w:ascii="宋体" w:hAnsi="宋体"/>
          <w:b/>
          <w:sz w:val="44"/>
          <w:szCs w:val="44"/>
        </w:rPr>
        <w:t>公司</w:t>
      </w:r>
    </w:p>
    <w:p>
      <w:pPr>
        <w:ind w:left="-718" w:leftChars="-342" w:firstLine="193"/>
        <w:jc w:val="center"/>
        <w:rPr>
          <w:rFonts w:ascii="宋体" w:hAnsi="宋体" w:cs="Arial"/>
          <w:b/>
          <w:sz w:val="44"/>
          <w:szCs w:val="44"/>
        </w:rPr>
      </w:pPr>
      <w:r>
        <w:rPr>
          <w:rFonts w:hint="eastAsia" w:ascii="宋体" w:hAnsi="宋体" w:cs="Arial"/>
          <w:b/>
          <w:sz w:val="44"/>
          <w:szCs w:val="44"/>
          <w:lang w:val="en-US" w:eastAsia="zh-CN"/>
        </w:rPr>
        <w:t>砂石</w:t>
      </w:r>
      <w:r>
        <w:rPr>
          <w:rFonts w:hint="eastAsia" w:ascii="宋体" w:hAnsi="宋体" w:cs="Arial"/>
          <w:b/>
          <w:sz w:val="44"/>
          <w:szCs w:val="44"/>
        </w:rPr>
        <w:t>采购</w:t>
      </w:r>
    </w:p>
    <w:p>
      <w:pPr>
        <w:tabs>
          <w:tab w:val="center" w:pos="4092"/>
          <w:tab w:val="left" w:pos="6932"/>
        </w:tabs>
        <w:ind w:left="-525" w:leftChars="-250" w:firstLine="87" w:firstLineChars="12"/>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adjustRightInd w:val="0"/>
        <w:snapToGrid w:val="0"/>
        <w:spacing w:line="620" w:lineRule="exact"/>
        <w:rPr>
          <w:rFonts w:hint="default" w:ascii="仿宋" w:hAnsi="仿宋" w:eastAsia="仿宋" w:cs="仿宋"/>
          <w:b/>
          <w:bCs/>
          <w:snapToGrid w:val="0"/>
          <w:sz w:val="32"/>
          <w:szCs w:val="32"/>
          <w:lang w:val="en-US" w:eastAsia="zh-CN"/>
        </w:rPr>
      </w:pPr>
    </w:p>
    <w:p>
      <w:pPr>
        <w:adjustRightInd w:val="0"/>
        <w:snapToGrid w:val="0"/>
        <w:spacing w:line="620" w:lineRule="exact"/>
        <w:ind w:firstLine="2100" w:firstLineChars="700"/>
        <w:rPr>
          <w:rFonts w:hint="eastAsia" w:ascii="仿宋" w:hAnsi="仿宋" w:eastAsia="仿宋" w:cs="仿宋"/>
          <w:snapToGrid w:val="0"/>
          <w:sz w:val="30"/>
          <w:szCs w:val="30"/>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仿宋" w:hAnsi="仿宋" w:eastAsia="仿宋" w:cs="仿宋"/>
          <w:snapToGrid w:val="0"/>
          <w:sz w:val="30"/>
          <w:szCs w:val="30"/>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仿宋" w:hAnsi="仿宋" w:eastAsia="仿宋" w:cs="仿宋"/>
          <w:snapToGrid w:val="0"/>
          <w:sz w:val="30"/>
          <w:szCs w:val="30"/>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仿宋" w:hAnsi="仿宋" w:eastAsia="仿宋" w:cs="仿宋"/>
          <w:snapToGrid w:val="0"/>
          <w:sz w:val="30"/>
          <w:szCs w:val="30"/>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仿宋" w:hAnsi="仿宋" w:eastAsia="仿宋" w:cs="仿宋"/>
          <w:snapToGrid w:val="0"/>
          <w:sz w:val="30"/>
          <w:szCs w:val="30"/>
        </w:rPr>
      </w:pPr>
    </w:p>
    <w:p>
      <w:pPr>
        <w:pStyle w:val="2"/>
        <w:rPr>
          <w:rFonts w:hint="eastAsia" w:ascii="仿宋" w:hAnsi="仿宋" w:eastAsia="仿宋" w:cs="仿宋"/>
          <w:snapToGrid w:val="0"/>
          <w:sz w:val="30"/>
          <w:szCs w:val="30"/>
        </w:rPr>
      </w:pPr>
    </w:p>
    <w:p>
      <w:pPr>
        <w:pStyle w:val="2"/>
        <w:rPr>
          <w:rFonts w:hint="eastAsia" w:ascii="仿宋" w:hAnsi="仿宋" w:eastAsia="仿宋" w:cs="仿宋"/>
          <w:snapToGrid w:val="0"/>
          <w:sz w:val="30"/>
          <w:szCs w:val="30"/>
        </w:rPr>
      </w:pPr>
    </w:p>
    <w:p>
      <w:pPr>
        <w:pStyle w:val="2"/>
        <w:rPr>
          <w:rFonts w:hint="eastAsia" w:ascii="仿宋" w:hAnsi="仿宋" w:eastAsia="仿宋" w:cs="仿宋"/>
          <w:snapToGrid w:val="0"/>
          <w:sz w:val="30"/>
          <w:szCs w:val="30"/>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仿宋" w:hAnsi="仿宋" w:eastAsia="仿宋" w:cs="仿宋"/>
          <w:b/>
          <w:snapToGrid w:val="0"/>
          <w:sz w:val="30"/>
          <w:szCs w:val="30"/>
          <w:lang w:val="en-US" w:eastAsia="zh-CN"/>
        </w:rPr>
      </w:pPr>
      <w:r>
        <w:rPr>
          <w:rFonts w:hint="eastAsia" w:ascii="仿宋" w:hAnsi="仿宋" w:eastAsia="仿宋" w:cs="仿宋"/>
          <w:snapToGrid w:val="0"/>
          <w:sz w:val="30"/>
          <w:szCs w:val="30"/>
        </w:rPr>
        <w:t>招</w:t>
      </w:r>
      <w:r>
        <w:rPr>
          <w:rFonts w:hint="eastAsia" w:ascii="仿宋" w:hAnsi="仿宋" w:eastAsia="仿宋" w:cs="仿宋"/>
          <w:snapToGrid w:val="0"/>
          <w:sz w:val="30"/>
          <w:szCs w:val="30"/>
          <w:lang w:val="en-US" w:eastAsia="zh-CN"/>
        </w:rPr>
        <w:t xml:space="preserve"> </w:t>
      </w:r>
      <w:r>
        <w:rPr>
          <w:rFonts w:hint="eastAsia" w:ascii="仿宋" w:hAnsi="仿宋" w:eastAsia="仿宋" w:cs="仿宋"/>
          <w:snapToGrid w:val="0"/>
          <w:sz w:val="30"/>
          <w:szCs w:val="30"/>
        </w:rPr>
        <w:t>标</w:t>
      </w:r>
      <w:r>
        <w:rPr>
          <w:rFonts w:hint="eastAsia" w:ascii="仿宋" w:hAnsi="仿宋" w:eastAsia="仿宋" w:cs="仿宋"/>
          <w:snapToGrid w:val="0"/>
          <w:sz w:val="30"/>
          <w:szCs w:val="30"/>
          <w:lang w:val="en-US" w:eastAsia="zh-CN"/>
        </w:rPr>
        <w:t xml:space="preserve"> </w:t>
      </w:r>
      <w:r>
        <w:rPr>
          <w:rFonts w:hint="eastAsia" w:ascii="仿宋" w:hAnsi="仿宋" w:eastAsia="仿宋" w:cs="仿宋"/>
          <w:snapToGrid w:val="0"/>
          <w:sz w:val="30"/>
          <w:szCs w:val="30"/>
        </w:rPr>
        <w:t>人：</w:t>
      </w:r>
      <w:r>
        <w:rPr>
          <w:rFonts w:hint="eastAsia" w:ascii="仿宋" w:hAnsi="仿宋" w:eastAsia="仿宋" w:cs="仿宋"/>
          <w:snapToGrid w:val="0"/>
          <w:sz w:val="30"/>
          <w:szCs w:val="30"/>
          <w:lang w:eastAsia="zh-CN"/>
        </w:rPr>
        <w:t>浏阳市浏发矿业发展有限公司</w:t>
      </w:r>
    </w:p>
    <w:p>
      <w:pPr>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仿宋" w:hAnsi="仿宋" w:eastAsia="仿宋" w:cs="仿宋"/>
          <w:b w:val="0"/>
          <w:bCs/>
          <w:sz w:val="30"/>
          <w:szCs w:val="30"/>
          <w:u w:val="none"/>
          <w:lang w:eastAsia="zh-CN"/>
        </w:rPr>
      </w:pPr>
      <w:r>
        <w:rPr>
          <w:rFonts w:hint="eastAsia" w:ascii="仿宋" w:hAnsi="仿宋" w:eastAsia="仿宋" w:cs="仿宋"/>
          <w:snapToGrid w:val="0"/>
          <w:sz w:val="30"/>
          <w:szCs w:val="30"/>
        </w:rPr>
        <w:t>招</w:t>
      </w:r>
      <w:r>
        <w:rPr>
          <w:rFonts w:hint="eastAsia" w:ascii="仿宋" w:hAnsi="仿宋" w:eastAsia="仿宋" w:cs="仿宋"/>
          <w:snapToGrid w:val="0"/>
          <w:sz w:val="30"/>
          <w:szCs w:val="30"/>
          <w:lang w:val="en-US" w:eastAsia="zh-CN"/>
        </w:rPr>
        <w:t>标</w:t>
      </w:r>
      <w:r>
        <w:rPr>
          <w:rFonts w:hint="eastAsia" w:ascii="仿宋" w:hAnsi="仿宋" w:eastAsia="仿宋" w:cs="仿宋"/>
          <w:snapToGrid w:val="0"/>
          <w:sz w:val="30"/>
          <w:szCs w:val="30"/>
          <w:lang w:eastAsia="zh-CN"/>
        </w:rPr>
        <w:t>代理</w:t>
      </w:r>
      <w:r>
        <w:rPr>
          <w:rFonts w:hint="eastAsia" w:ascii="仿宋" w:hAnsi="仿宋" w:eastAsia="仿宋" w:cs="仿宋"/>
          <w:snapToGrid w:val="0"/>
          <w:sz w:val="30"/>
          <w:szCs w:val="30"/>
        </w:rPr>
        <w:t>：</w:t>
      </w:r>
      <w:r>
        <w:rPr>
          <w:rFonts w:hint="eastAsia" w:ascii="仿宋" w:hAnsi="仿宋" w:eastAsia="仿宋" w:cs="仿宋"/>
          <w:snapToGrid w:val="0"/>
          <w:sz w:val="30"/>
          <w:szCs w:val="30"/>
          <w:lang w:eastAsia="zh-CN"/>
        </w:rPr>
        <w:t>浏阳市浏招项目管理有限公司</w:t>
      </w:r>
    </w:p>
    <w:p/>
    <w:p>
      <w:pPr>
        <w:ind w:firstLine="2891" w:firstLineChars="900"/>
        <w:rPr>
          <w:rFonts w:ascii="仿宋" w:hAnsi="仿宋" w:eastAsia="仿宋"/>
          <w:b/>
          <w:sz w:val="32"/>
          <w:szCs w:val="32"/>
        </w:rPr>
      </w:pPr>
      <w:r>
        <w:rPr>
          <w:rFonts w:hint="eastAsia" w:ascii="仿宋" w:hAnsi="仿宋" w:eastAsia="仿宋"/>
          <w:b/>
          <w:sz w:val="32"/>
          <w:szCs w:val="32"/>
          <w:lang w:eastAsia="zh-CN"/>
        </w:rPr>
        <w:t>二〇二二年九月</w:t>
      </w:r>
    </w:p>
    <w:p>
      <w:pPr>
        <w:pStyle w:val="31"/>
        <w:numPr>
          <w:ilvl w:val="0"/>
          <w:numId w:val="0"/>
        </w:numPr>
        <w:spacing w:line="288" w:lineRule="auto"/>
        <w:ind w:leftChars="0"/>
        <w:jc w:val="both"/>
        <w:rPr>
          <w:rFonts w:ascii="仿宋_GB2312" w:hAnsi="宋体" w:eastAsia="仿宋_GB2312"/>
          <w:b/>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highlight w:val="none"/>
          <w:lang w:val="en-US" w:eastAsia="zh-CN"/>
        </w:rPr>
        <w:t xml:space="preserve">第一章   </w:t>
      </w:r>
      <w:r>
        <w:rPr>
          <w:rFonts w:hint="eastAsia" w:ascii="黑体" w:hAnsi="黑体" w:eastAsia="黑体" w:cs="黑体"/>
          <w:b w:val="0"/>
          <w:bCs w:val="0"/>
          <w:sz w:val="32"/>
          <w:szCs w:val="32"/>
        </w:rPr>
        <w:t>招标</w:t>
      </w:r>
      <w:r>
        <w:rPr>
          <w:rFonts w:hint="eastAsia" w:ascii="黑体" w:hAnsi="黑体" w:eastAsia="黑体" w:cs="黑体"/>
          <w:b w:val="0"/>
          <w:bCs w:val="0"/>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因</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需要，</w:t>
      </w:r>
      <w:r>
        <w:rPr>
          <w:rFonts w:hint="eastAsia" w:ascii="宋体" w:hAnsi="宋体" w:eastAsia="宋体" w:cs="宋体"/>
          <w:spacing w:val="0"/>
          <w:sz w:val="24"/>
          <w:szCs w:val="24"/>
          <w:lang w:eastAsia="zh-CN"/>
        </w:rPr>
        <w:t>浏阳市浏发矿业发展有限公司</w:t>
      </w:r>
      <w:r>
        <w:rPr>
          <w:rFonts w:hint="eastAsia" w:ascii="宋体" w:hAnsi="宋体" w:cs="宋体"/>
          <w:spacing w:val="0"/>
          <w:sz w:val="24"/>
          <w:szCs w:val="24"/>
          <w:lang w:eastAsia="zh-CN"/>
        </w:rPr>
        <w:t>（招标人）</w:t>
      </w:r>
      <w:r>
        <w:rPr>
          <w:rFonts w:hint="eastAsia" w:ascii="宋体" w:hAnsi="宋体" w:cs="宋体"/>
          <w:color w:val="0000FF"/>
          <w:spacing w:val="0"/>
          <w:sz w:val="24"/>
          <w:szCs w:val="24"/>
          <w:lang w:eastAsia="zh-CN"/>
        </w:rPr>
        <w:t>委托浏阳市浏招项目管理有限公司（招标代理机构）</w:t>
      </w:r>
      <w:r>
        <w:rPr>
          <w:rFonts w:hint="eastAsia" w:ascii="宋体" w:hAnsi="宋体" w:eastAsia="宋体" w:cs="宋体"/>
          <w:spacing w:val="0"/>
          <w:sz w:val="24"/>
          <w:szCs w:val="24"/>
          <w:lang w:eastAsia="zh-CN"/>
        </w:rPr>
        <w:t>通过浏发矿业砂石供应库、浏发集团官网和《浏阳日报》公开招标</w:t>
      </w:r>
      <w:r>
        <w:rPr>
          <w:rFonts w:hint="eastAsia" w:ascii="宋体" w:hAnsi="宋体" w:eastAsia="宋体" w:cs="宋体"/>
          <w:color w:val="0000FF"/>
          <w:spacing w:val="0"/>
          <w:sz w:val="24"/>
          <w:szCs w:val="24"/>
          <w:lang w:eastAsia="zh-CN"/>
        </w:rPr>
        <w:t>采购</w:t>
      </w:r>
      <w:r>
        <w:rPr>
          <w:rFonts w:hint="eastAsia" w:ascii="宋体" w:hAnsi="宋体" w:eastAsia="宋体" w:cs="宋体"/>
          <w:spacing w:val="0"/>
          <w:sz w:val="24"/>
          <w:szCs w:val="24"/>
          <w:lang w:eastAsia="zh-CN"/>
        </w:rPr>
        <w:t>砂石。此次</w:t>
      </w:r>
      <w:r>
        <w:rPr>
          <w:rFonts w:hint="eastAsia" w:ascii="宋体" w:hAnsi="宋体" w:eastAsia="宋体" w:cs="宋体"/>
          <w:color w:val="0000FF"/>
          <w:spacing w:val="0"/>
          <w:sz w:val="24"/>
          <w:szCs w:val="24"/>
          <w:lang w:eastAsia="zh-CN"/>
        </w:rPr>
        <w:t>采购的</w:t>
      </w:r>
      <w:r>
        <w:rPr>
          <w:rFonts w:hint="eastAsia" w:ascii="宋体" w:hAnsi="宋体" w:eastAsia="宋体" w:cs="宋体"/>
          <w:spacing w:val="0"/>
          <w:sz w:val="24"/>
          <w:szCs w:val="24"/>
          <w:lang w:eastAsia="zh-CN"/>
        </w:rPr>
        <w:t>砂石送货搅拌站为</w:t>
      </w:r>
      <w:r>
        <w:rPr>
          <w:rFonts w:hint="eastAsia" w:ascii="宋体" w:hAnsi="宋体" w:eastAsia="宋体" w:cs="宋体"/>
          <w:snapToGrid w:val="0"/>
          <w:spacing w:val="0"/>
          <w:kern w:val="21"/>
          <w:sz w:val="24"/>
          <w:szCs w:val="24"/>
          <w:lang w:val="en-US" w:eastAsia="zh-CN"/>
        </w:rPr>
        <w:t>湖南长沙西南方新材料科技有限公司（以下简称“长沙西本部”）、长沙铜官南方新材料科技有限公司（以下简称“铜官南方新材”）、长沙铜官南方新材料科技有限公司中煌分公司（以下简称“铜官中煌”）</w:t>
      </w:r>
      <w:r>
        <w:rPr>
          <w:rFonts w:hint="eastAsia" w:ascii="宋体" w:hAnsi="宋体" w:eastAsia="宋体" w:cs="宋体"/>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sz w:val="24"/>
          <w:szCs w:val="24"/>
        </w:rPr>
        <w:t>招标项目名称：</w:t>
      </w:r>
    </w:p>
    <w:p>
      <w:pPr>
        <w:keepNext w:val="0"/>
        <w:keepLines w:val="0"/>
        <w:pageBreakBefore w:val="0"/>
        <w:widowControl/>
        <w:tabs>
          <w:tab w:val="left" w:pos="1134"/>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浏阳市浏发矿业发展有限公司</w:t>
      </w:r>
      <w:r>
        <w:rPr>
          <w:rFonts w:hint="eastAsia" w:ascii="宋体" w:hAnsi="宋体" w:eastAsia="宋体" w:cs="宋体"/>
          <w:sz w:val="24"/>
          <w:szCs w:val="24"/>
          <w:lang w:val="en-US" w:eastAsia="zh-CN"/>
        </w:rPr>
        <w:t>砂石</w:t>
      </w:r>
      <w:r>
        <w:rPr>
          <w:rFonts w:hint="eastAsia" w:ascii="宋体" w:hAnsi="宋体" w:eastAsia="宋体" w:cs="宋体"/>
          <w:sz w:val="24"/>
          <w:szCs w:val="24"/>
        </w:rPr>
        <w:t>采购</w:t>
      </w:r>
    </w:p>
    <w:p>
      <w:pPr>
        <w:keepNext w:val="0"/>
        <w:keepLines w:val="0"/>
        <w:pageBreakBefore w:val="0"/>
        <w:widowControl/>
        <w:tabs>
          <w:tab w:val="left" w:pos="1134"/>
        </w:tabs>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sz w:val="24"/>
          <w:szCs w:val="24"/>
        </w:rPr>
        <w:t>招标内容：</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590"/>
        <w:gridCol w:w="2522"/>
        <w:gridCol w:w="2109"/>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79" w:type="pct"/>
            <w:vAlign w:val="center"/>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名</w:t>
            </w:r>
          </w:p>
        </w:tc>
        <w:tc>
          <w:tcPr>
            <w:tcW w:w="851" w:type="pct"/>
            <w:vAlign w:val="center"/>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标段号</w:t>
            </w:r>
          </w:p>
        </w:tc>
        <w:tc>
          <w:tcPr>
            <w:tcW w:w="1350" w:type="pct"/>
            <w:vAlign w:val="center"/>
          </w:tcPr>
          <w:p>
            <w:pPr>
              <w:widowControl/>
              <w:spacing w:line="252"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标的地</w:t>
            </w:r>
          </w:p>
        </w:tc>
        <w:tc>
          <w:tcPr>
            <w:tcW w:w="1129" w:type="pct"/>
            <w:vAlign w:val="center"/>
          </w:tcPr>
          <w:p>
            <w:pPr>
              <w:widowControl/>
              <w:spacing w:line="252" w:lineRule="auto"/>
              <w:jc w:val="center"/>
              <w:rPr>
                <w:rFonts w:hint="eastAsia" w:ascii="宋体" w:hAnsi="宋体" w:eastAsia="宋体" w:cs="宋体"/>
                <w:sz w:val="24"/>
                <w:szCs w:val="24"/>
              </w:rPr>
            </w:pPr>
            <w:r>
              <w:rPr>
                <w:rFonts w:hint="eastAsia" w:ascii="宋体" w:hAnsi="宋体" w:eastAsia="宋体" w:cs="宋体"/>
                <w:sz w:val="24"/>
                <w:szCs w:val="24"/>
              </w:rPr>
              <w:t>采购数量（吨）</w:t>
            </w:r>
          </w:p>
        </w:tc>
        <w:tc>
          <w:tcPr>
            <w:tcW w:w="789" w:type="pct"/>
            <w:vAlign w:val="center"/>
          </w:tcPr>
          <w:p>
            <w:pPr>
              <w:widowControl/>
              <w:spacing w:line="252" w:lineRule="auto"/>
              <w:jc w:val="center"/>
              <w:rPr>
                <w:rFonts w:hint="eastAsia" w:ascii="宋体" w:hAnsi="宋体" w:eastAsia="宋体" w:cs="宋体"/>
                <w:sz w:val="24"/>
                <w:szCs w:val="24"/>
              </w:rPr>
            </w:pPr>
            <w:r>
              <w:rPr>
                <w:rFonts w:hint="eastAsia" w:ascii="宋体" w:hAnsi="宋体" w:eastAsia="宋体" w:cs="宋体"/>
                <w:sz w:val="24"/>
                <w:szCs w:val="24"/>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pct"/>
            <w:vAlign w:val="top"/>
          </w:tcPr>
          <w:p>
            <w:pPr>
              <w:widowControl/>
              <w:spacing w:line="252"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碎石</w:t>
            </w:r>
          </w:p>
        </w:tc>
        <w:tc>
          <w:tcPr>
            <w:tcW w:w="851" w:type="pct"/>
            <w:vAlign w:val="top"/>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kern w:val="2"/>
                <w:sz w:val="24"/>
                <w:szCs w:val="24"/>
                <w:lang w:val="en-US" w:eastAsia="zh-CN" w:bidi="ar-SA"/>
              </w:rPr>
              <w:t>标段</w:t>
            </w:r>
          </w:p>
        </w:tc>
        <w:tc>
          <w:tcPr>
            <w:tcW w:w="1350"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铜官南方新材料</w:t>
            </w:r>
          </w:p>
        </w:tc>
        <w:tc>
          <w:tcPr>
            <w:tcW w:w="1129" w:type="pct"/>
            <w:vAlign w:val="top"/>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按实</w:t>
            </w:r>
          </w:p>
        </w:tc>
        <w:tc>
          <w:tcPr>
            <w:tcW w:w="789" w:type="pct"/>
            <w:vAlign w:val="top"/>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restart"/>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机制砂</w:t>
            </w:r>
          </w:p>
        </w:tc>
        <w:tc>
          <w:tcPr>
            <w:tcW w:w="851"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二标段</w:t>
            </w:r>
          </w:p>
        </w:tc>
        <w:tc>
          <w:tcPr>
            <w:tcW w:w="1350"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长沙西本部</w:t>
            </w:r>
          </w:p>
        </w:tc>
        <w:tc>
          <w:tcPr>
            <w:tcW w:w="1129"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按实</w:t>
            </w:r>
          </w:p>
        </w:tc>
        <w:tc>
          <w:tcPr>
            <w:tcW w:w="789"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top"/>
          </w:tcPr>
          <w:p>
            <w:pPr>
              <w:widowControl/>
              <w:spacing w:line="252" w:lineRule="auto"/>
              <w:jc w:val="center"/>
              <w:rPr>
                <w:rFonts w:hint="eastAsia" w:ascii="宋体" w:hAnsi="宋体" w:eastAsia="宋体" w:cs="宋体"/>
                <w:sz w:val="24"/>
                <w:szCs w:val="24"/>
              </w:rPr>
            </w:pPr>
          </w:p>
        </w:tc>
        <w:tc>
          <w:tcPr>
            <w:tcW w:w="851" w:type="pct"/>
            <w:vAlign w:val="center"/>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三标段</w:t>
            </w:r>
          </w:p>
        </w:tc>
        <w:tc>
          <w:tcPr>
            <w:tcW w:w="1350"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铜官中煌</w:t>
            </w:r>
          </w:p>
        </w:tc>
        <w:tc>
          <w:tcPr>
            <w:tcW w:w="1129"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按实</w:t>
            </w:r>
          </w:p>
        </w:tc>
        <w:tc>
          <w:tcPr>
            <w:tcW w:w="789" w:type="pct"/>
            <w:vAlign w:val="top"/>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一年</w:t>
            </w:r>
          </w:p>
        </w:tc>
      </w:tr>
    </w:tbl>
    <w:p>
      <w:pPr>
        <w:pStyle w:val="14"/>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备注：此次招标的机制砂报价及质量要求说明：机制砂符合C50及以上等级，含水率控制</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5%，超过部分扣除；</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压碎值</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12%，石粉含量及泥块含量：亚甲蓝值</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0.5或快速检测合格，石粉含量</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5.0，泥块含量</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1.0；细度模数≥2.5-3.1；</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有害物质：云母</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2%；对不符合以上指标的机制砂将作降价处理，降价幅度6元或以上；其他品名按招标方质量要求标准执行。</w:t>
      </w:r>
    </w:p>
    <w:p>
      <w:pPr>
        <w:pStyle w:val="14"/>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三、</w:t>
      </w:r>
      <w:r>
        <w:rPr>
          <w:rFonts w:hint="eastAsia" w:ascii="宋体" w:hAnsi="宋体" w:eastAsia="宋体" w:cs="宋体"/>
          <w:b w:val="0"/>
          <w:bCs w:val="0"/>
          <w:color w:val="0000FF"/>
          <w:sz w:val="24"/>
          <w:szCs w:val="24"/>
          <w:lang w:eastAsia="zh-CN"/>
        </w:rPr>
        <w:t>合格投标人条件</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1、企业营业执照、法人代表人身份证明（法定代表人授权委托书）、企业资质等。</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z w:val="24"/>
          <w:szCs w:val="24"/>
        </w:rPr>
        <w:t>投标人提供的产品必须符合招标文件规定各项要求、具有市级及以上产品质量监督部门出具的检验合格证或检验报告证明生产厂家质量合格的产品。</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snapToGrid w:val="0"/>
          <w:color w:val="auto"/>
          <w:sz w:val="24"/>
          <w:szCs w:val="24"/>
        </w:rPr>
        <w:t>投标单位提供近三年同类产品销售业绩表</w:t>
      </w:r>
      <w:r>
        <w:rPr>
          <w:rFonts w:hint="eastAsia" w:ascii="宋体" w:hAnsi="宋体" w:eastAsia="宋体" w:cs="宋体"/>
          <w:snapToGrid w:val="0"/>
          <w:color w:val="0000FF"/>
          <w:sz w:val="24"/>
          <w:szCs w:val="24"/>
          <w:lang w:eastAsia="zh-CN"/>
        </w:rPr>
        <w:t>（如有）</w:t>
      </w:r>
      <w:r>
        <w:rPr>
          <w:rFonts w:hint="eastAsia" w:ascii="宋体" w:hAnsi="宋体" w:eastAsia="宋体" w:cs="宋体"/>
          <w:snapToGrid w:val="0"/>
          <w:color w:val="auto"/>
          <w:sz w:val="24"/>
          <w:szCs w:val="24"/>
        </w:rPr>
        <w:t>。业绩表中需提供使用单位、供货数量、合同金额等，并提供使用单位联系人和联系电话。</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lang w:val="en-US" w:eastAsia="zh-CN"/>
        </w:rPr>
        <w:t>4、</w:t>
      </w:r>
      <w:r>
        <w:rPr>
          <w:rFonts w:hint="eastAsia" w:ascii="宋体" w:hAnsi="宋体" w:eastAsia="宋体" w:cs="宋体"/>
          <w:snapToGrid w:val="0"/>
          <w:color w:val="auto"/>
          <w:sz w:val="24"/>
          <w:szCs w:val="24"/>
        </w:rPr>
        <w:t>产品的技术服务和售后服务</w:t>
      </w:r>
      <w:r>
        <w:rPr>
          <w:rFonts w:hint="eastAsia" w:ascii="宋体" w:hAnsi="宋体" w:eastAsia="宋体" w:cs="宋体"/>
          <w:snapToGrid w:val="0"/>
          <w:color w:val="0000FF"/>
          <w:sz w:val="24"/>
          <w:szCs w:val="24"/>
          <w:lang w:eastAsia="zh-CN"/>
        </w:rPr>
        <w:t>承诺</w:t>
      </w:r>
      <w:r>
        <w:rPr>
          <w:rFonts w:hint="eastAsia" w:ascii="宋体" w:hAnsi="宋体" w:eastAsia="宋体" w:cs="宋体"/>
          <w:snapToGrid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rPr>
        <w:t>5、</w:t>
      </w: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未被列入</w:t>
      </w:r>
      <w:r>
        <w:rPr>
          <w:rFonts w:hint="eastAsia" w:ascii="宋体" w:hAnsi="宋体" w:eastAsia="宋体" w:cs="宋体"/>
          <w:sz w:val="24"/>
          <w:szCs w:val="24"/>
        </w:rPr>
        <w:t>“信用中国”网站（www.creditchina.gov.cn）列入失信被执行人名单</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提供“信用中国”网站查询结果</w:t>
      </w:r>
      <w:r>
        <w:rPr>
          <w:rFonts w:hint="eastAsia" w:ascii="宋体" w:hAnsi="宋体" w:eastAsia="宋体" w:cs="宋体"/>
          <w:snapToGrid w:val="0"/>
          <w:color w:val="auto"/>
          <w:sz w:val="24"/>
          <w:szCs w:val="24"/>
        </w:rPr>
        <w:t>截图加盖</w:t>
      </w:r>
      <w:r>
        <w:rPr>
          <w:rFonts w:hint="eastAsia" w:ascii="宋体" w:hAnsi="宋体" w:eastAsia="宋体" w:cs="宋体"/>
          <w:snapToGrid w:val="0"/>
          <w:color w:val="auto"/>
          <w:sz w:val="24"/>
          <w:szCs w:val="24"/>
          <w:lang w:eastAsia="zh-CN"/>
        </w:rPr>
        <w:t>投标人</w:t>
      </w:r>
      <w:r>
        <w:rPr>
          <w:rFonts w:hint="eastAsia" w:ascii="宋体" w:hAnsi="宋体" w:eastAsia="宋体" w:cs="宋体"/>
          <w:snapToGrid w:val="0"/>
          <w:color w:val="auto"/>
          <w:sz w:val="24"/>
          <w:szCs w:val="24"/>
        </w:rPr>
        <w:t>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val="0"/>
          <w:bCs w:val="0"/>
          <w:i w:val="0"/>
          <w:caps w:val="0"/>
          <w:color w:val="0000FF"/>
          <w:spacing w:val="0"/>
          <w:sz w:val="24"/>
          <w:szCs w:val="24"/>
          <w:shd w:val="clear" w:fill="FFFFFF"/>
          <w:lang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i w:val="0"/>
          <w:caps w:val="0"/>
          <w:color w:val="0000FF"/>
          <w:spacing w:val="0"/>
          <w:sz w:val="24"/>
          <w:szCs w:val="24"/>
          <w:shd w:val="clear" w:fill="FFFFFF"/>
          <w:lang w:eastAsia="zh-CN"/>
        </w:rPr>
        <w:t>招标文件的获取：</w:t>
      </w:r>
    </w:p>
    <w:p>
      <w:pPr>
        <w:pStyle w:val="1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b w:val="0"/>
          <w:bCs w:val="0"/>
          <w:i w:val="0"/>
          <w:caps w:val="0"/>
          <w:color w:val="0000FF"/>
          <w:spacing w:val="0"/>
          <w:sz w:val="24"/>
          <w:szCs w:val="24"/>
          <w:shd w:val="clear" w:fill="FFFFFF"/>
          <w:lang w:val="en-US" w:eastAsia="zh-CN"/>
        </w:rPr>
      </w:pPr>
      <w:r>
        <w:rPr>
          <w:rFonts w:hint="eastAsia" w:ascii="宋体" w:hAnsi="宋体" w:eastAsia="宋体" w:cs="宋体"/>
          <w:b w:val="0"/>
          <w:bCs w:val="0"/>
          <w:i w:val="0"/>
          <w:caps w:val="0"/>
          <w:color w:val="0000FF"/>
          <w:spacing w:val="0"/>
          <w:sz w:val="24"/>
          <w:szCs w:val="24"/>
          <w:shd w:val="clear" w:fill="FFFFFF"/>
          <w:lang w:val="en-US" w:eastAsia="zh-CN"/>
        </w:rPr>
        <w:t>投标人可从2022年9月26日至2022年9月28日14:30止（北京时间，下同）在浏阳市浏发矿业发展有限公司砂石供应商库微信群或浏阳市城乡发展集团有限责任公司官网（http://www.liufajituan.com）下载招标文件。如有遗漏（包括但不限于文件未下载或下载不完整）招标人或招标代理机构概不负责，所造成的投标失败或损失均由投标人自行负责。</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投标文件的递交</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投标文件递交</w:t>
      </w:r>
      <w:r>
        <w:rPr>
          <w:rFonts w:hint="eastAsia" w:ascii="宋体" w:hAnsi="宋体" w:eastAsia="宋体" w:cs="宋体"/>
          <w:color w:val="auto"/>
          <w:sz w:val="24"/>
          <w:szCs w:val="24"/>
          <w:lang w:val="en-US" w:eastAsia="zh-CN"/>
        </w:rPr>
        <w:t>开始</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2022年9月28日13时30分</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投标文件递交截止时间：</w:t>
      </w:r>
      <w:r>
        <w:rPr>
          <w:rFonts w:hint="eastAsia" w:ascii="宋体" w:hAnsi="宋体" w:eastAsia="宋体" w:cs="宋体"/>
          <w:color w:val="auto"/>
          <w:sz w:val="24"/>
          <w:szCs w:val="24"/>
          <w:lang w:val="en-US" w:eastAsia="zh-CN"/>
        </w:rPr>
        <w:t>2022年9月28日14时30分，超过截止时间的投标将被拒绝。</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递交地点：浏阳市浏发矿业发展有限公司会议室</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递交方式：</w:t>
      </w:r>
      <w:r>
        <w:rPr>
          <w:rFonts w:hint="eastAsia" w:ascii="宋体" w:hAnsi="宋体" w:eastAsia="宋体" w:cs="宋体"/>
          <w:color w:val="auto"/>
          <w:sz w:val="24"/>
          <w:szCs w:val="24"/>
          <w:lang w:eastAsia="zh-CN"/>
        </w:rPr>
        <w:t>现场</w:t>
      </w:r>
      <w:r>
        <w:rPr>
          <w:rFonts w:hint="eastAsia" w:ascii="宋体" w:hAnsi="宋体" w:eastAsia="宋体" w:cs="宋体"/>
          <w:color w:val="auto"/>
          <w:sz w:val="24"/>
          <w:szCs w:val="24"/>
          <w:lang w:val="en-US" w:eastAsia="zh-CN"/>
        </w:rPr>
        <w:t>递交</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招标方：</w:t>
      </w:r>
      <w:r>
        <w:rPr>
          <w:rFonts w:hint="eastAsia" w:ascii="宋体" w:hAnsi="宋体" w:eastAsia="宋体" w:cs="宋体"/>
          <w:color w:val="auto"/>
          <w:sz w:val="24"/>
          <w:szCs w:val="24"/>
          <w:lang w:eastAsia="zh-CN"/>
        </w:rPr>
        <w:t>浏阳市浏发矿业发展有限公司</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eastAsia="宋体" w:cs="宋体"/>
          <w:color w:val="auto"/>
          <w:sz w:val="24"/>
          <w:szCs w:val="24"/>
          <w:lang w:val="en-US" w:eastAsia="zh-CN"/>
        </w:rPr>
        <w:t>.</w:t>
      </w:r>
      <w:r>
        <w:rPr>
          <w:rFonts w:hint="eastAsia" w:ascii="宋体" w:hAnsi="宋体" w:eastAsia="宋体" w:cs="宋体"/>
          <w:color w:val="auto"/>
          <w:sz w:val="24"/>
          <w:szCs w:val="24"/>
        </w:rPr>
        <w:t>需方：</w:t>
      </w:r>
      <w:r>
        <w:rPr>
          <w:rFonts w:hint="eastAsia" w:ascii="宋体" w:hAnsi="宋体" w:eastAsia="宋体" w:cs="宋体"/>
          <w:color w:val="auto"/>
          <w:sz w:val="24"/>
          <w:szCs w:val="24"/>
          <w:lang w:eastAsia="zh-CN"/>
        </w:rPr>
        <w:t>浏阳市浏发矿业发展有限公司</w:t>
      </w:r>
      <w:r>
        <w:rPr>
          <w:rFonts w:hint="eastAsia" w:ascii="宋体" w:hAnsi="宋体" w:eastAsia="宋体" w:cs="宋体"/>
          <w:color w:val="auto"/>
          <w:sz w:val="24"/>
          <w:szCs w:val="24"/>
        </w:rPr>
        <w:t>。</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2．供方：在投标阶段为投标单位，在中标和需方签订</w:t>
      </w:r>
      <w:r>
        <w:rPr>
          <w:rFonts w:hint="eastAsia" w:ascii="宋体" w:hAnsi="宋体" w:eastAsia="宋体" w:cs="宋体"/>
          <w:color w:val="auto"/>
          <w:sz w:val="24"/>
          <w:szCs w:val="24"/>
          <w:lang w:eastAsia="zh-CN"/>
        </w:rPr>
        <w:t>砂石</w:t>
      </w:r>
      <w:r>
        <w:rPr>
          <w:rFonts w:hint="eastAsia" w:ascii="宋体" w:hAnsi="宋体" w:eastAsia="宋体" w:cs="宋体"/>
          <w:color w:val="auto"/>
          <w:sz w:val="24"/>
          <w:szCs w:val="24"/>
        </w:rPr>
        <w:t>采购合同后为中标供应商。</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eastAsia="zh-CN"/>
        </w:rPr>
        <w:t>七</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开标时间</w:t>
      </w:r>
      <w:r>
        <w:rPr>
          <w:rFonts w:hint="eastAsia" w:ascii="宋体" w:eastAsia="宋体" w:cs="宋体"/>
          <w:color w:val="auto"/>
          <w:sz w:val="24"/>
          <w:szCs w:val="24"/>
          <w:lang w:eastAsia="zh-CN"/>
        </w:rPr>
        <w:t>和地点</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开标</w:t>
      </w:r>
      <w:r>
        <w:rPr>
          <w:rFonts w:hint="eastAsia" w:ascii="宋体" w:hAnsi="宋体" w:eastAsia="宋体" w:cs="宋体"/>
          <w:b w:val="0"/>
          <w:bCs w:val="0"/>
          <w:color w:val="auto"/>
          <w:sz w:val="24"/>
          <w:szCs w:val="24"/>
          <w:highlight w:val="none"/>
        </w:rPr>
        <w:t>时间：</w:t>
      </w:r>
      <w:r>
        <w:rPr>
          <w:rFonts w:hint="eastAsia" w:ascii="宋体" w:hAnsi="宋体" w:eastAsia="宋体" w:cs="宋体"/>
          <w:color w:val="auto"/>
          <w:sz w:val="24"/>
          <w:szCs w:val="24"/>
          <w:lang w:val="en-US" w:eastAsia="zh-CN"/>
        </w:rPr>
        <w:t>2022年9月28日14时30分</w:t>
      </w:r>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w:t>
      </w:r>
      <w:r>
        <w:rPr>
          <w:rFonts w:hint="eastAsia" w:ascii="宋体" w:eastAsia="宋体" w:cs="宋体"/>
          <w:color w:val="auto"/>
          <w:sz w:val="24"/>
          <w:szCs w:val="24"/>
          <w:lang w:eastAsia="zh-CN"/>
        </w:rPr>
        <w:t>：</w:t>
      </w:r>
      <w:r>
        <w:rPr>
          <w:rFonts w:hint="eastAsia" w:ascii="宋体" w:hAnsi="宋体" w:eastAsia="宋体" w:cs="宋体"/>
          <w:color w:val="auto"/>
          <w:sz w:val="24"/>
          <w:szCs w:val="24"/>
          <w:lang w:eastAsia="zh-CN"/>
        </w:rPr>
        <w:t>浏阳市浏发矿业发展有限公司</w:t>
      </w:r>
      <w:r>
        <w:rPr>
          <w:rFonts w:hint="eastAsia" w:ascii="宋体" w:hAnsi="宋体" w:eastAsia="宋体" w:cs="宋体"/>
          <w:color w:val="auto"/>
          <w:sz w:val="24"/>
          <w:szCs w:val="24"/>
        </w:rPr>
        <w:t>会议室。</w:t>
      </w:r>
      <w:bookmarkStart w:id="0" w:name="_Toc69927250"/>
      <w:bookmarkStart w:id="1" w:name="_Toc358540498"/>
    </w:p>
    <w:p>
      <w:pPr>
        <w:pStyle w:val="17"/>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八、评标</w:t>
      </w:r>
      <w:bookmarkEnd w:id="0"/>
      <w:bookmarkEnd w:id="1"/>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招标人根据招标项目特点组建评标工作小组和定标小组。评标工作小组由招标单位相关专家和专业人员</w:t>
      </w:r>
      <w:r>
        <w:rPr>
          <w:rFonts w:hint="eastAsia" w:ascii="宋体" w:hAnsi="宋体" w:eastAsia="宋体" w:cs="宋体"/>
          <w:sz w:val="24"/>
          <w:szCs w:val="24"/>
          <w:highlight w:val="none"/>
          <w:lang w:eastAsia="zh-CN"/>
        </w:rPr>
        <w:t>、纪委监察室</w:t>
      </w:r>
      <w:r>
        <w:rPr>
          <w:rFonts w:hint="eastAsia" w:ascii="宋体" w:hAnsi="宋体" w:eastAsia="宋体" w:cs="宋体"/>
          <w:sz w:val="24"/>
          <w:szCs w:val="24"/>
          <w:highlight w:val="none"/>
        </w:rPr>
        <w:t>等组成，初步拟定中标候选人及其推荐顺序。如果评标工作小组成员对审议事项存有不同意见，以评标工作小组成员多数的意见为准。定标小组负责审核评标工作小组推荐的中标候选人，最终确定中标单位。</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评标原则</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（1）对邀请招标单位的投标文件进行评审。在投标书完整无缺，符合招标文件的规定、要求和格式的标书中，进行</w:t>
      </w:r>
      <w:r>
        <w:rPr>
          <w:rFonts w:hint="eastAsia" w:ascii="宋体" w:hAnsi="宋体" w:eastAsia="宋体" w:cs="宋体"/>
          <w:sz w:val="24"/>
          <w:szCs w:val="24"/>
          <w:highlight w:val="none"/>
          <w:lang w:val="en-US" w:eastAsia="zh-CN"/>
        </w:rPr>
        <w:t>初步</w:t>
      </w:r>
      <w:r>
        <w:rPr>
          <w:rFonts w:hint="eastAsia" w:ascii="宋体" w:hAnsi="宋体" w:eastAsia="宋体" w:cs="宋体"/>
          <w:sz w:val="24"/>
          <w:szCs w:val="24"/>
          <w:highlight w:val="none"/>
        </w:rPr>
        <w:t>评审</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（2）在开标后，招标人有权通报或不通报投标人的报价。招标</w:t>
      </w:r>
      <w:r>
        <w:rPr>
          <w:rFonts w:hint="eastAsia" w:ascii="宋体" w:hAnsi="宋体" w:cs="宋体"/>
          <w:sz w:val="24"/>
          <w:szCs w:val="24"/>
          <w:highlight w:val="none"/>
          <w:lang w:eastAsia="zh-CN"/>
        </w:rPr>
        <w:t>人</w:t>
      </w:r>
      <w:r>
        <w:rPr>
          <w:rFonts w:hint="eastAsia" w:ascii="宋体" w:hAnsi="宋体" w:eastAsia="宋体" w:cs="宋体"/>
          <w:sz w:val="24"/>
          <w:szCs w:val="24"/>
          <w:highlight w:val="none"/>
        </w:rPr>
        <w:t>将组织现场考察，进行原材料溯源和抽检，若投标单位不予配合的、或以各种理由阻扰招标方人员进入现场取样的、或提供虚假资料的、或故意停产造成库空提供的已准备好的样品等情形，均做废标处理。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（3）</w:t>
      </w:r>
      <w:r>
        <w:rPr>
          <w:rFonts w:hint="eastAsia" w:ascii="宋体" w:hAnsi="宋体" w:eastAsia="宋体" w:cs="宋体"/>
          <w:b w:val="0"/>
          <w:bCs w:val="0"/>
          <w:color w:val="000000" w:themeColor="text1"/>
          <w:sz w:val="24"/>
          <w:szCs w:val="24"/>
          <w:highlight w:val="none"/>
          <w14:textFill>
            <w14:solidFill>
              <w14:schemeClr w14:val="tx1"/>
            </w14:solidFill>
          </w14:textFill>
        </w:rPr>
        <w:t>评标严格按照招标文件的要求和条件进行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，采用低价评定法</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，从初步评审、技术评审、商务评审三方面资格后审及符合性指标鉴定为合格入围单位，以报价低者依次推荐为中标入围供应商，同等报价，从源头矿山企业、可易货或抵款、与集团内企业合作作为增值评分项。</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评标过程保密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.1开标之后，直到授予投标人合同为止，凡是属于审查、澄清、评价和比较投标的有关资料以及授标意向等，均不得向投标人或其它无关的人员透露。</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.2在评标期间，投标人企图影响招标结果的任何活动，将导致投标被拒绝。并承担相应法律责任。</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定标</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评标工作小组根据招标文件中确定的评标程序、原则、方法对投标文件进行评审和比较，提出书面评标报告并推荐合格的中</w:t>
      </w:r>
      <w:r>
        <w:rPr>
          <w:rFonts w:hint="eastAsia" w:ascii="宋体" w:hAnsi="宋体" w:eastAsia="宋体" w:cs="宋体"/>
          <w:sz w:val="24"/>
          <w:szCs w:val="24"/>
          <w:highlight w:val="none"/>
          <w:lang w:val="en-US" w:eastAsia="zh-CN"/>
        </w:rPr>
        <w:t>标入围单位</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对投标文件进行评审和比较，评标工作小组写出书面评标报告，每个评标工作小组成员在推荐评标报告上签字。</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评标工作小组评定推荐中标候选人，报定标小组审核确定中标单位。</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十、履约担保</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本项目要求提供履约担保，履约担保的金额为：伍万元整（￥50000元）</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履约担保提交的时间：中标人应在签订合同前将履约保证金从其基本账户以转账方式缴入招标人指定的履约保证金专户。</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履约担保的退还：合同期满后一个月内一次性退还。</w:t>
      </w:r>
      <w:bookmarkStart w:id="19" w:name="_GoBack"/>
      <w:bookmarkEnd w:id="19"/>
    </w:p>
    <w:p>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firstLine="482" w:firstLineChars="200"/>
        <w:textAlignment w:val="auto"/>
        <w:rPr>
          <w:rFonts w:hint="eastAsia" w:ascii="宋体" w:hAnsi="宋体" w:cs="Arial"/>
          <w:color w:val="auto"/>
          <w:sz w:val="24"/>
          <w:highlight w:val="none"/>
        </w:rPr>
      </w:pPr>
      <w:r>
        <w:rPr>
          <w:rFonts w:hint="eastAsia" w:ascii="宋体" w:hAnsi="宋体" w:cs="宋体"/>
          <w:b/>
          <w:bCs/>
          <w:sz w:val="24"/>
          <w:szCs w:val="24"/>
          <w:lang w:eastAsia="zh-CN"/>
        </w:rPr>
        <w:t>十一</w:t>
      </w:r>
      <w:r>
        <w:rPr>
          <w:rFonts w:hint="eastAsia" w:ascii="宋体" w:hAnsi="宋体" w:eastAsia="宋体" w:cs="宋体"/>
          <w:b/>
          <w:bCs/>
          <w:sz w:val="24"/>
          <w:szCs w:val="24"/>
          <w:lang w:eastAsia="zh-CN"/>
        </w:rPr>
        <w:t>、</w:t>
      </w:r>
      <w:r>
        <w:rPr>
          <w:rFonts w:hint="eastAsia" w:ascii="宋体" w:hAnsi="宋体" w:cs="Arial"/>
          <w:color w:val="auto"/>
          <w:sz w:val="24"/>
          <w:highlight w:val="none"/>
        </w:rPr>
        <w:t>有关此次采购事宜，可向下列单位查询：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招 标 人：</w:t>
      </w:r>
      <w:r>
        <w:rPr>
          <w:rFonts w:hint="eastAsia" w:ascii="宋体" w:hAnsi="宋体" w:eastAsia="宋体" w:cs="宋体"/>
          <w:color w:val="auto"/>
          <w:sz w:val="24"/>
          <w:szCs w:val="24"/>
          <w:lang w:eastAsia="zh-CN"/>
        </w:rPr>
        <w:t>浏阳市浏发矿业发展有限公司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Arial"/>
          <w:color w:val="auto"/>
          <w:sz w:val="24"/>
          <w:highlight w:val="none"/>
          <w:lang w:val="en-US"/>
        </w:rPr>
      </w:pPr>
      <w:r>
        <w:rPr>
          <w:rFonts w:hint="eastAsia" w:ascii="宋体" w:hAnsi="宋体" w:cs="Arial"/>
          <w:color w:val="auto"/>
          <w:sz w:val="24"/>
          <w:highlight w:val="none"/>
        </w:rPr>
        <w:t>联</w:t>
      </w:r>
      <w:r>
        <w:rPr>
          <w:rFonts w:ascii="宋体" w:hAnsi="宋体" w:cs="Arial"/>
          <w:color w:val="auto"/>
          <w:sz w:val="24"/>
          <w:highlight w:val="none"/>
        </w:rPr>
        <w:t xml:space="preserve"> </w:t>
      </w:r>
      <w:r>
        <w:rPr>
          <w:rFonts w:hint="eastAsia" w:ascii="宋体" w:hAnsi="宋体" w:cs="Arial"/>
          <w:color w:val="auto"/>
          <w:sz w:val="24"/>
          <w:highlight w:val="none"/>
        </w:rPr>
        <w:t>系</w:t>
      </w:r>
      <w:r>
        <w:rPr>
          <w:rFonts w:ascii="宋体" w:hAnsi="宋体" w:cs="Arial"/>
          <w:color w:val="auto"/>
          <w:sz w:val="24"/>
          <w:highlight w:val="none"/>
        </w:rPr>
        <w:t xml:space="preserve"> </w:t>
      </w:r>
      <w:r>
        <w:rPr>
          <w:rFonts w:hint="eastAsia" w:ascii="宋体" w:hAnsi="宋体" w:cs="Arial"/>
          <w:color w:val="auto"/>
          <w:sz w:val="24"/>
          <w:highlight w:val="none"/>
        </w:rPr>
        <w:t>人：</w:t>
      </w:r>
      <w:r>
        <w:rPr>
          <w:rFonts w:hint="eastAsia" w:ascii="宋体" w:hAnsi="宋体" w:eastAsia="宋体" w:cs="宋体"/>
          <w:sz w:val="24"/>
          <w:szCs w:val="24"/>
          <w:lang w:eastAsia="zh-CN"/>
        </w:rPr>
        <w:t>胡藏虎</w:t>
      </w:r>
      <w:r>
        <w:rPr>
          <w:rFonts w:hint="eastAsia" w:ascii="宋体" w:hAnsi="宋体" w:eastAsia="宋体" w:cs="宋体"/>
          <w:sz w:val="24"/>
          <w:szCs w:val="24"/>
          <w:lang w:val="en-US" w:eastAsia="zh-CN"/>
        </w:rPr>
        <w:t xml:space="preserve">                 李  靓</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olor w:val="auto"/>
          <w:sz w:val="24"/>
          <w:highlight w:val="none"/>
          <w:lang w:val="en-US"/>
        </w:rPr>
      </w:pPr>
      <w:r>
        <w:rPr>
          <w:rFonts w:hint="eastAsia" w:ascii="宋体" w:hAnsi="宋体" w:cs="Arial"/>
          <w:color w:val="auto"/>
          <w:sz w:val="24"/>
          <w:highlight w:val="none"/>
        </w:rPr>
        <w:t>电</w:t>
      </w:r>
      <w:r>
        <w:rPr>
          <w:rFonts w:ascii="宋体" w:hAnsi="宋体" w:cs="Arial"/>
          <w:color w:val="auto"/>
          <w:sz w:val="24"/>
          <w:highlight w:val="none"/>
        </w:rPr>
        <w:t xml:space="preserve">    </w:t>
      </w:r>
      <w:r>
        <w:rPr>
          <w:rFonts w:hint="eastAsia" w:ascii="宋体" w:hAnsi="宋体" w:cs="Arial"/>
          <w:color w:val="auto"/>
          <w:sz w:val="24"/>
          <w:highlight w:val="none"/>
        </w:rPr>
        <w:t>话：</w:t>
      </w:r>
      <w:r>
        <w:rPr>
          <w:rFonts w:hint="eastAsia" w:ascii="宋体" w:hAnsi="宋体" w:eastAsia="宋体" w:cs="宋体"/>
          <w:sz w:val="24"/>
          <w:szCs w:val="24"/>
          <w:lang w:val="en-US" w:eastAsia="zh-CN"/>
        </w:rPr>
        <w:t>13548561791            15388923999</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地    址：浏阳市人民东路128-3号二楼</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招标代理机构：</w:t>
      </w:r>
      <w:r>
        <w:rPr>
          <w:rFonts w:hint="eastAsia" w:ascii="宋体" w:hAnsi="宋体" w:cs="Arial"/>
          <w:color w:val="auto"/>
          <w:sz w:val="24"/>
          <w:highlight w:val="none"/>
          <w:lang w:eastAsia="zh-CN"/>
        </w:rPr>
        <w:t>浏阳市浏招</w:t>
      </w:r>
      <w:r>
        <w:rPr>
          <w:rFonts w:hint="eastAsia" w:ascii="宋体" w:hAnsi="宋体" w:cs="Arial"/>
          <w:color w:val="auto"/>
          <w:sz w:val="24"/>
          <w:highlight w:val="none"/>
        </w:rPr>
        <w:t>项目管理有限公司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联</w:t>
      </w:r>
      <w:r>
        <w:rPr>
          <w:rFonts w:ascii="宋体" w:hAnsi="宋体" w:cs="Arial"/>
          <w:color w:val="auto"/>
          <w:sz w:val="24"/>
          <w:highlight w:val="none"/>
        </w:rPr>
        <w:t xml:space="preserve"> </w:t>
      </w:r>
      <w:r>
        <w:rPr>
          <w:rFonts w:hint="eastAsia" w:ascii="宋体" w:hAnsi="宋体" w:cs="Arial"/>
          <w:color w:val="auto"/>
          <w:sz w:val="24"/>
          <w:highlight w:val="none"/>
        </w:rPr>
        <w:t>系</w:t>
      </w:r>
      <w:r>
        <w:rPr>
          <w:rFonts w:ascii="宋体" w:hAnsi="宋体" w:cs="Arial"/>
          <w:color w:val="auto"/>
          <w:sz w:val="24"/>
          <w:highlight w:val="none"/>
        </w:rPr>
        <w:t xml:space="preserve"> </w:t>
      </w:r>
      <w:r>
        <w:rPr>
          <w:rFonts w:hint="eastAsia" w:ascii="宋体" w:hAnsi="宋体" w:cs="Arial"/>
          <w:color w:val="auto"/>
          <w:sz w:val="24"/>
          <w:highlight w:val="none"/>
        </w:rPr>
        <w:t>人：胡  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电</w:t>
      </w:r>
      <w:r>
        <w:rPr>
          <w:rFonts w:ascii="宋体" w:hAnsi="宋体" w:cs="Arial"/>
          <w:color w:val="auto"/>
          <w:sz w:val="24"/>
          <w:highlight w:val="none"/>
        </w:rPr>
        <w:t xml:space="preserve">    </w:t>
      </w:r>
      <w:r>
        <w:rPr>
          <w:rFonts w:hint="eastAsia" w:ascii="宋体" w:hAnsi="宋体" w:cs="Arial"/>
          <w:color w:val="auto"/>
          <w:sz w:val="24"/>
          <w:highlight w:val="none"/>
        </w:rPr>
        <w:t>话：0731-83630118</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olor w:val="auto"/>
          <w:highlight w:val="none"/>
        </w:rPr>
      </w:pPr>
      <w:r>
        <w:rPr>
          <w:rFonts w:hint="eastAsia" w:ascii="宋体" w:hAnsi="宋体" w:cs="Arial"/>
          <w:color w:val="auto"/>
          <w:sz w:val="24"/>
          <w:highlight w:val="none"/>
        </w:rPr>
        <w:t>地</w:t>
      </w:r>
      <w:r>
        <w:rPr>
          <w:rFonts w:ascii="宋体" w:hAnsi="宋体" w:cs="Arial"/>
          <w:color w:val="auto"/>
          <w:sz w:val="24"/>
          <w:highlight w:val="none"/>
        </w:rPr>
        <w:t xml:space="preserve">    </w:t>
      </w:r>
      <w:r>
        <w:rPr>
          <w:rFonts w:hint="eastAsia" w:ascii="宋体" w:hAnsi="宋体" w:cs="Arial"/>
          <w:color w:val="auto"/>
          <w:sz w:val="24"/>
          <w:highlight w:val="none"/>
        </w:rPr>
        <w:t>址：浏阳市集里街道民俗文化步行街72</w:t>
      </w:r>
      <w:r>
        <w:rPr>
          <w:rFonts w:hint="eastAsia" w:hAnsi="宋体"/>
          <w:color w:val="auto"/>
          <w:highlight w:val="none"/>
        </w:rPr>
        <w:t>号</w:t>
      </w:r>
    </w:p>
    <w:p>
      <w:pPr>
        <w:rPr>
          <w:rFonts w:hint="eastAsia"/>
        </w:rPr>
      </w:pPr>
      <w:r>
        <w:rPr>
          <w:rFonts w:hint="eastAsia"/>
        </w:rPr>
        <w:br w:type="page"/>
      </w:r>
    </w:p>
    <w:p>
      <w:pPr>
        <w:rPr>
          <w:rFonts w:hint="eastAsia"/>
          <w:lang w:eastAsia="zh-CN"/>
        </w:rPr>
      </w:pPr>
      <w:r>
        <w:rPr>
          <w:rFonts w:hint="eastAsia"/>
          <w:lang w:eastAsia="zh-CN"/>
        </w:rPr>
        <w:t>附：中标通知书（格式）</w:t>
      </w:r>
    </w:p>
    <w:p>
      <w:pPr>
        <w:rPr>
          <w:rFonts w:hint="eastAsia"/>
          <w:lang w:eastAsia="zh-CN"/>
        </w:rPr>
      </w:pPr>
    </w:p>
    <w:p>
      <w:pPr>
        <w:pStyle w:val="8"/>
        <w:rPr>
          <w:rFonts w:hint="eastAsia"/>
          <w:lang w:eastAsia="zh-CN"/>
        </w:rPr>
      </w:pP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中标通知书（格式）</w:t>
      </w:r>
    </w:p>
    <w:p>
      <w:pPr>
        <w:spacing w:line="500" w:lineRule="exact"/>
        <w:jc w:val="center"/>
        <w:rPr>
          <w:rFonts w:ascii="宋体" w:hAnsi="宋体"/>
          <w:b/>
          <w:sz w:val="28"/>
          <w:szCs w:val="28"/>
        </w:rPr>
      </w:pP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公司下属浏阳市浏发矿业发展</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砂石</w:t>
      </w:r>
      <w:r>
        <w:rPr>
          <w:rFonts w:hint="eastAsia" w:ascii="宋体" w:hAnsi="宋体" w:eastAsia="宋体" w:cs="宋体"/>
          <w:sz w:val="24"/>
          <w:szCs w:val="24"/>
        </w:rPr>
        <w:t>采购招标，已于202</w:t>
      </w:r>
      <w:r>
        <w:rPr>
          <w:rFonts w:hint="eastAsia" w:ascii="宋体" w:hAnsi="宋体" w:eastAsia="宋体" w:cs="宋体"/>
          <w:sz w:val="24"/>
          <w:szCs w:val="24"/>
          <w:lang w:val="en-US" w:eastAsia="zh-CN"/>
        </w:rPr>
        <w:t>2</w:t>
      </w:r>
      <w:r>
        <w:rPr>
          <w:rFonts w:hint="eastAsia" w:ascii="宋体" w:hAnsi="宋体" w:eastAsia="宋体" w:cs="宋体"/>
          <w:sz w:val="24"/>
          <w:szCs w:val="24"/>
        </w:rPr>
        <w:t>年  月  日开标。</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经过我司评标委员会审核，确定你单位为我司</w:t>
      </w:r>
      <w:r>
        <w:rPr>
          <w:rFonts w:hint="eastAsia" w:ascii="宋体" w:hAnsi="宋体" w:eastAsia="宋体" w:cs="宋体"/>
          <w:sz w:val="24"/>
          <w:szCs w:val="24"/>
          <w:lang w:val="en-US" w:eastAsia="zh-CN"/>
        </w:rPr>
        <w:t>砂石</w:t>
      </w:r>
      <w:r>
        <w:rPr>
          <w:rFonts w:hint="eastAsia" w:ascii="宋体" w:hAnsi="宋体" w:eastAsia="宋体" w:cs="宋体"/>
          <w:sz w:val="24"/>
          <w:szCs w:val="24"/>
        </w:rPr>
        <w:t>采购中标入围单位,含税中标价格：</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请贵司自本中标通知书发出之日起三十日内，与我司签订</w:t>
      </w:r>
      <w:r>
        <w:rPr>
          <w:rFonts w:hint="eastAsia" w:ascii="宋体" w:hAnsi="宋体" w:eastAsia="宋体" w:cs="宋体"/>
          <w:sz w:val="24"/>
          <w:szCs w:val="24"/>
          <w:lang w:eastAsia="zh-CN"/>
        </w:rPr>
        <w:t>砂石</w:t>
      </w:r>
      <w:r>
        <w:rPr>
          <w:rFonts w:hint="eastAsia" w:ascii="宋体" w:hAnsi="宋体" w:eastAsia="宋体" w:cs="宋体"/>
          <w:sz w:val="24"/>
          <w:szCs w:val="24"/>
        </w:rPr>
        <w:t>采购合同。</w:t>
      </w:r>
    </w:p>
    <w:p>
      <w:pPr>
        <w:spacing w:line="560" w:lineRule="exact"/>
        <w:rPr>
          <w:rFonts w:hint="eastAsia" w:ascii="宋体" w:hAnsi="宋体" w:eastAsia="宋体" w:cs="宋体"/>
          <w:sz w:val="24"/>
          <w:szCs w:val="24"/>
        </w:rPr>
      </w:pPr>
      <w:r>
        <w:rPr>
          <w:rFonts w:hint="eastAsia" w:ascii="宋体" w:hAnsi="宋体" w:eastAsia="宋体" w:cs="宋体"/>
          <w:sz w:val="24"/>
          <w:szCs w:val="24"/>
        </w:rPr>
        <w:t>　　特此通知。</w:t>
      </w:r>
    </w:p>
    <w:p>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                            </w:t>
      </w:r>
    </w:p>
    <w:p>
      <w:pPr>
        <w:spacing w:line="600" w:lineRule="exact"/>
        <w:rPr>
          <w:rFonts w:hint="eastAsia" w:ascii="宋体" w:hAnsi="宋体" w:eastAsia="宋体" w:cs="宋体"/>
          <w:sz w:val="24"/>
          <w:szCs w:val="24"/>
        </w:rPr>
      </w:pPr>
    </w:p>
    <w:p>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浏阳市浏发矿业发展</w:t>
      </w:r>
      <w:r>
        <w:rPr>
          <w:rFonts w:hint="eastAsia" w:ascii="宋体" w:hAnsi="宋体" w:eastAsia="宋体" w:cs="宋体"/>
          <w:sz w:val="24"/>
          <w:szCs w:val="24"/>
        </w:rPr>
        <w:t>有限公司</w:t>
      </w:r>
    </w:p>
    <w:p>
      <w:pPr>
        <w:jc w:val="cente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  月  日</w:t>
      </w:r>
    </w:p>
    <w:p>
      <w:pPr>
        <w:spacing w:line="216" w:lineRule="auto"/>
        <w:ind w:firstLine="240" w:firstLineChars="100"/>
        <w:jc w:val="left"/>
        <w:rPr>
          <w:rFonts w:hint="eastAsia" w:ascii="宋体" w:hAnsi="宋体" w:eastAsia="宋体" w:cs="宋体"/>
          <w:color w:val="000000"/>
          <w:sz w:val="24"/>
          <w:szCs w:val="24"/>
        </w:rPr>
      </w:pPr>
    </w:p>
    <w:p>
      <w:pPr>
        <w:spacing w:line="216" w:lineRule="auto"/>
        <w:ind w:firstLine="240" w:firstLineChars="100"/>
        <w:jc w:val="left"/>
        <w:rPr>
          <w:rFonts w:hint="eastAsia" w:ascii="宋体" w:hAnsi="宋体" w:eastAsia="宋体" w:cs="宋体"/>
          <w:color w:val="000000"/>
          <w:sz w:val="24"/>
          <w:szCs w:val="24"/>
        </w:rPr>
      </w:pPr>
    </w:p>
    <w:p>
      <w:pPr>
        <w:rPr>
          <w:rFonts w:hint="eastAsia"/>
          <w:lang w:eastAsia="zh-CN"/>
        </w:rPr>
      </w:pPr>
    </w:p>
    <w:p>
      <w:pPr>
        <w:pStyle w:val="8"/>
        <w:rPr>
          <w:rFonts w:hint="eastAsia"/>
          <w:lang w:val="en-US" w:eastAsia="zh-CN"/>
        </w:r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第二章 招投标廉洁告知函</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kern w:val="2"/>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投标人(公司)： </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为加强招投标活动中的廉政建设，进一步规范招投标行为，体现公平、公正、公开和诚实守信的招标原则，根据国家有关法律、法规和廉政建设相关规定，特将我司有关规定函告贵司：</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50"/>
        <w:textAlignment w:val="auto"/>
        <w:rPr>
          <w:rFonts w:hint="eastAsia" w:ascii="宋体" w:hAnsi="宋体" w:eastAsia="宋体" w:cs="宋体"/>
          <w:kern w:val="2"/>
          <w:sz w:val="24"/>
          <w:szCs w:val="24"/>
        </w:rPr>
      </w:pPr>
      <w:r>
        <w:rPr>
          <w:rFonts w:hint="eastAsia" w:ascii="宋体" w:hAnsi="宋体" w:eastAsia="宋体" w:cs="宋体"/>
          <w:kern w:val="2"/>
          <w:sz w:val="24"/>
          <w:szCs w:val="24"/>
        </w:rPr>
        <w:t>一、投标人不得有以下行为：</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1.不得向招标人、相关人员及其他投标人行贿，包括但不限于赠送现金、物品、购物卡、有价证券、免费提供劳务、旅游或其他非物质性利益等。</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2.不搞相互串通虚假围标和串标行为，不进行恶性低价投标。</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3.不得私下与参会人员或相关人员就评标人员、定标内容等事宜进行沟通。</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4.不得向评委小组成员行贿，以不正当手段谋取中标。</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5.不得向招投标监管人员请客、送礼及组织其它有可能影响客观、公正、监管的活动。</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6.通过权力部门或有关领导向监管机构及工作人员打招呼、写条子、说情，干预正常的招投标监管工作。</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7.评审结果在未正式公开前，不得以任何形式与有关单位或个人打听定标结果。</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8.不对外透露与本次投标有关的相关信息，保守招标企业的商业秘密。</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9.须遵守回避原则，投标企业法人代表、实际控制人或管理人员不能与招标组织方人员、招标企业领导干部或关键岗位人员有亲人、亲属或特定人关系，承诺不发生关联交易。</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二、严禁我司招标工作人员接受投标人或与招标结果有关的其他利益关系人的吃请、贿赂及其他不正当利益。不得向评委采取暗示、授意、指使或在评标工作中发表诱导性言论等手段，干预或者影响评标过程和结果。</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三、如投标人违反上述规定，一经发现，我司将其列入不良记录黑名单；扣除履约保证金、停止支付货款及取消合格供应商资格，并永久取消投标资格。同时，保留因利益受损追究其责任的权利。</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四、若贵司发现其他投标人或我司工作人员违反上述规定，可向我司纪检</w:t>
      </w:r>
      <w:r>
        <w:rPr>
          <w:rFonts w:hint="eastAsia" w:ascii="宋体" w:hAnsi="宋体" w:eastAsia="宋体" w:cs="宋体"/>
          <w:kern w:val="2"/>
          <w:sz w:val="24"/>
          <w:szCs w:val="24"/>
          <w:lang w:eastAsia="zh-CN"/>
        </w:rPr>
        <w:t>办公</w:t>
      </w:r>
      <w:r>
        <w:rPr>
          <w:rFonts w:hint="eastAsia" w:ascii="宋体" w:hAnsi="宋体" w:eastAsia="宋体" w:cs="宋体"/>
          <w:kern w:val="2"/>
          <w:sz w:val="24"/>
          <w:szCs w:val="24"/>
        </w:rPr>
        <w:t>室投诉举报，举报方式如下：</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投诉举报</w:t>
      </w:r>
      <w:r>
        <w:rPr>
          <w:rFonts w:hint="eastAsia" w:ascii="宋体" w:hAnsi="宋体" w:eastAsia="宋体" w:cs="宋体"/>
          <w:kern w:val="2"/>
          <w:sz w:val="24"/>
          <w:szCs w:val="24"/>
          <w:lang w:val="en-US" w:eastAsia="zh-CN"/>
        </w:rPr>
        <w:t>电话：</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纪检主任谭昆：13687391605</w:t>
      </w:r>
    </w:p>
    <w:p>
      <w:pPr>
        <w:pStyle w:val="15"/>
        <w:keepNext w:val="0"/>
        <w:keepLines w:val="0"/>
        <w:pageBreakBefore w:val="0"/>
        <w:widowControl/>
        <w:shd w:val="clear" w:color="auto" w:fill="FFFFFF"/>
        <w:tabs>
          <w:tab w:val="left" w:pos="7113"/>
        </w:tabs>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特此函告。</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浏阳市浏发矿业发展有限公司</w:t>
      </w:r>
      <w:r>
        <w:rPr>
          <w:rFonts w:hint="eastAsia" w:ascii="宋体" w:hAnsi="宋体" w:eastAsia="宋体" w:cs="宋体"/>
          <w:kern w:val="2"/>
          <w:sz w:val="24"/>
          <w:szCs w:val="24"/>
          <w:highlight w:val="none"/>
        </w:rPr>
        <w:t>纪检</w:t>
      </w:r>
      <w:r>
        <w:rPr>
          <w:rFonts w:hint="eastAsia" w:ascii="宋体" w:hAnsi="宋体" w:eastAsia="宋体" w:cs="宋体"/>
          <w:kern w:val="2"/>
          <w:sz w:val="24"/>
          <w:szCs w:val="24"/>
          <w:highlight w:val="none"/>
          <w:lang w:eastAsia="zh-CN"/>
        </w:rPr>
        <w:t>办公室</w:t>
      </w:r>
      <w:r>
        <w:rPr>
          <w:rFonts w:hint="eastAsia" w:ascii="宋体" w:hAnsi="宋体" w:eastAsia="宋体" w:cs="宋体"/>
          <w:kern w:val="2"/>
          <w:sz w:val="24"/>
          <w:szCs w:val="24"/>
          <w:highlight w:val="none"/>
          <w:lang w:val="en-US" w:eastAsia="zh-CN"/>
        </w:rPr>
        <w:t xml:space="preserve">  </w:t>
      </w:r>
    </w:p>
    <w:p>
      <w:pPr>
        <w:rPr>
          <w:rFonts w:hint="eastAsia" w:ascii="黑体" w:hAnsi="黑体" w:eastAsia="黑体" w:cs="黑体"/>
          <w:b w:val="0"/>
          <w:bCs w:val="0"/>
          <w:color w:val="auto"/>
          <w:sz w:val="32"/>
          <w:szCs w:val="32"/>
          <w:highlight w:val="none"/>
          <w:lang w:val="en-US" w:eastAsia="zh-CN"/>
        </w:rPr>
      </w:pPr>
      <w:bookmarkStart w:id="2" w:name="_Toc69927255"/>
      <w:bookmarkStart w:id="3" w:name="_Toc358540502"/>
      <w:bookmarkStart w:id="4" w:name="_Toc69552306"/>
      <w:r>
        <w:rPr>
          <w:rFonts w:hint="eastAsia" w:ascii="黑体" w:hAnsi="黑体" w:eastAsia="黑体" w:cs="黑体"/>
          <w:b w:val="0"/>
          <w:bCs w:val="0"/>
          <w:color w:val="auto"/>
          <w:sz w:val="32"/>
          <w:szCs w:val="32"/>
          <w:highlight w:val="none"/>
          <w:lang w:val="en-US" w:eastAsia="zh-CN"/>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第三章  投标文件组成</w:t>
      </w:r>
    </w:p>
    <w:p>
      <w:pPr>
        <w:pStyle w:val="31"/>
        <w:keepNext w:val="0"/>
        <w:keepLines w:val="0"/>
        <w:pageBreakBefore w:val="0"/>
        <w:numPr>
          <w:ilvl w:val="0"/>
          <w:numId w:val="0"/>
        </w:numPr>
        <w:kinsoku/>
        <w:wordWrap/>
        <w:overflowPunct/>
        <w:topLinePunct w:val="0"/>
        <w:autoSpaceDE/>
        <w:autoSpaceDN/>
        <w:bidi w:val="0"/>
        <w:spacing w:line="520" w:lineRule="exact"/>
        <w:jc w:val="both"/>
        <w:textAlignment w:val="auto"/>
        <w:rPr>
          <w:rFonts w:hint="eastAsia" w:ascii="宋体" w:hAnsi="宋体" w:cs="宋体"/>
          <w:b w:val="0"/>
          <w:bCs w:val="0"/>
          <w:color w:val="auto"/>
          <w:sz w:val="24"/>
          <w:szCs w:val="24"/>
          <w:highlight w:val="none"/>
          <w:lang w:val="en-US" w:eastAsia="zh-CN"/>
        </w:rPr>
      </w:pP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一、投标函</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附件1：法定代表人身份证明</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附件2：法定代表人授权委托书</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二、报价一览表</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三、投标人的资格证明材料</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附件3：投标人基本情况表</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附件4：投标人未被未被列入“信用中国”网站（www.creditchina.gov.cn）列入失信被执行人名单的查询结果截图</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四、投标承诺书</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五、投标廉洁承诺函</w:t>
      </w:r>
    </w:p>
    <w:p>
      <w:pPr>
        <w:pStyle w:val="31"/>
        <w:keepNext w:val="0"/>
        <w:keepLines w:val="0"/>
        <w:pageBreakBefore w:val="0"/>
        <w:numPr>
          <w:ilvl w:val="0"/>
          <w:numId w:val="0"/>
        </w:numPr>
        <w:kinsoku/>
        <w:wordWrap/>
        <w:overflowPunct/>
        <w:topLinePunct w:val="0"/>
        <w:autoSpaceDE/>
        <w:autoSpaceDN/>
        <w:bidi w:val="0"/>
        <w:spacing w:line="520" w:lineRule="exact"/>
        <w:ind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六、招标文件要求投标人提交的其他文件</w:t>
      </w:r>
    </w:p>
    <w:p>
      <w:pPr>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br w:type="page"/>
      </w:r>
    </w:p>
    <w:p>
      <w:pPr>
        <w:spacing w:line="560" w:lineRule="exact"/>
        <w:jc w:val="center"/>
        <w:rPr>
          <w:rFonts w:hint="eastAsia" w:ascii="黑体" w:hAnsi="黑体" w:eastAsia="黑体" w:cs="黑体"/>
          <w:sz w:val="36"/>
          <w:szCs w:val="36"/>
          <w:lang w:eastAsia="zh-CN"/>
        </w:rPr>
      </w:pPr>
      <w:r>
        <w:rPr>
          <w:rFonts w:hint="eastAsia" w:ascii="黑体" w:hAnsi="黑体" w:eastAsia="黑体" w:cs="黑体"/>
          <w:bCs w:val="0"/>
          <w:sz w:val="36"/>
          <w:szCs w:val="36"/>
          <w:lang w:eastAsia="zh-CN"/>
        </w:rPr>
        <w:t>一、</w:t>
      </w:r>
      <w:r>
        <w:rPr>
          <w:rFonts w:hint="eastAsia" w:ascii="黑体" w:hAnsi="黑体" w:eastAsia="黑体" w:cs="黑体"/>
          <w:bCs w:val="0"/>
          <w:sz w:val="36"/>
          <w:szCs w:val="36"/>
        </w:rPr>
        <w:t>投标函</w:t>
      </w:r>
    </w:p>
    <w:p>
      <w:pPr>
        <w:spacing w:line="560" w:lineRule="exact"/>
        <w:rPr>
          <w:rFonts w:hint="eastAsia" w:ascii="宋体" w:hAnsi="宋体" w:eastAsia="宋体" w:cs="宋体"/>
          <w:sz w:val="24"/>
          <w:szCs w:val="24"/>
          <w:lang w:eastAsia="zh-CN"/>
        </w:rPr>
      </w:pPr>
    </w:p>
    <w:p>
      <w:pPr>
        <w:spacing w:line="560" w:lineRule="exact"/>
        <w:rPr>
          <w:rFonts w:hint="eastAsia" w:ascii="宋体" w:hAnsi="宋体" w:eastAsia="宋体" w:cs="宋体"/>
          <w:sz w:val="24"/>
          <w:szCs w:val="24"/>
        </w:rPr>
      </w:pPr>
      <w:r>
        <w:rPr>
          <w:rFonts w:hint="eastAsia" w:ascii="宋体" w:hAnsi="宋体" w:eastAsia="宋体" w:cs="宋体"/>
          <w:sz w:val="24"/>
          <w:szCs w:val="24"/>
          <w:lang w:eastAsia="zh-CN"/>
        </w:rPr>
        <w:t>浏阳市浏发矿业发展</w:t>
      </w:r>
      <w:r>
        <w:rPr>
          <w:rFonts w:hint="eastAsia" w:ascii="宋体" w:hAnsi="宋体" w:eastAsia="宋体" w:cs="宋体"/>
          <w:sz w:val="24"/>
          <w:szCs w:val="24"/>
        </w:rPr>
        <w:t>有限公司：</w:t>
      </w:r>
    </w:p>
    <w:p>
      <w:pPr>
        <w:autoSpaceDN w:val="0"/>
        <w:spacing w:line="480" w:lineRule="exact"/>
        <w:ind w:firstLine="48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lang w:eastAsia="zh-CN"/>
        </w:rPr>
        <w:t>方已仔细研究了浏阳市浏发矿业发展</w:t>
      </w:r>
      <w:r>
        <w:rPr>
          <w:rFonts w:hint="eastAsia" w:ascii="宋体" w:hAnsi="宋体" w:eastAsia="宋体" w:cs="宋体"/>
          <w:sz w:val="24"/>
          <w:szCs w:val="24"/>
        </w:rPr>
        <w:t>有限公司</w:t>
      </w:r>
      <w:r>
        <w:rPr>
          <w:rFonts w:hint="eastAsia" w:ascii="宋体" w:hAnsi="宋体" w:eastAsia="宋体" w:cs="宋体"/>
          <w:sz w:val="24"/>
          <w:szCs w:val="24"/>
          <w:lang w:eastAsia="zh-CN"/>
        </w:rPr>
        <w:t>砂石</w:t>
      </w:r>
      <w:r>
        <w:rPr>
          <w:rFonts w:hint="eastAsia" w:ascii="宋体" w:hAnsi="宋体" w:eastAsia="宋体" w:cs="宋体"/>
          <w:sz w:val="24"/>
          <w:szCs w:val="24"/>
        </w:rPr>
        <w:t>采购招标文件</w:t>
      </w:r>
      <w:r>
        <w:rPr>
          <w:rFonts w:hint="eastAsia" w:ascii="宋体" w:hAnsi="宋体" w:eastAsia="宋体" w:cs="宋体"/>
          <w:sz w:val="24"/>
          <w:szCs w:val="24"/>
          <w:lang w:eastAsia="zh-CN"/>
        </w:rPr>
        <w:t>的全部内容，知悉参加投标的风险</w:t>
      </w:r>
      <w:r>
        <w:rPr>
          <w:rFonts w:hint="eastAsia" w:ascii="宋体" w:hAnsi="宋体" w:eastAsia="宋体" w:cs="宋体"/>
          <w:sz w:val="24"/>
          <w:szCs w:val="24"/>
        </w:rPr>
        <w:t>，经详细研究，我公司决定参加</w:t>
      </w:r>
      <w:r>
        <w:rPr>
          <w:rFonts w:hint="eastAsia" w:ascii="宋体" w:hAnsi="宋体" w:cs="宋体"/>
          <w:sz w:val="24"/>
          <w:szCs w:val="24"/>
          <w:lang w:eastAsia="zh-CN"/>
        </w:rPr>
        <w:t>本项目的</w:t>
      </w:r>
      <w:r>
        <w:rPr>
          <w:rFonts w:hint="eastAsia" w:ascii="宋体" w:hAnsi="宋体" w:eastAsia="宋体" w:cs="宋体"/>
          <w:sz w:val="24"/>
          <w:szCs w:val="24"/>
        </w:rPr>
        <w:t>投标，正式授权的下述签字人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（姓名和职务）代表投标人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（投标人名称），提交下述文件正本壹份</w:t>
      </w:r>
      <w:r>
        <w:rPr>
          <w:rFonts w:hint="eastAsia" w:ascii="宋体" w:hAnsi="宋体" w:cs="宋体"/>
          <w:sz w:val="24"/>
          <w:szCs w:val="24"/>
          <w:lang w:eastAsia="zh-CN"/>
        </w:rPr>
        <w:t>、</w:t>
      </w:r>
      <w:r>
        <w:rPr>
          <w:rFonts w:hint="eastAsia" w:ascii="宋体" w:hAnsi="宋体" w:eastAsia="宋体" w:cs="宋体"/>
          <w:sz w:val="24"/>
          <w:szCs w:val="24"/>
        </w:rPr>
        <w:t>副本</w:t>
      </w:r>
      <w:r>
        <w:rPr>
          <w:rFonts w:hint="eastAsia" w:ascii="宋体" w:hAnsi="宋体" w:eastAsia="宋体" w:cs="宋体"/>
          <w:sz w:val="24"/>
          <w:szCs w:val="24"/>
          <w:lang w:eastAsia="zh-CN"/>
        </w:rPr>
        <w:t>贰</w:t>
      </w:r>
      <w:r>
        <w:rPr>
          <w:rFonts w:hint="eastAsia" w:ascii="宋体" w:hAnsi="宋体" w:eastAsia="宋体" w:cs="宋体"/>
          <w:sz w:val="24"/>
          <w:szCs w:val="24"/>
        </w:rPr>
        <w:t>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(1)投标函</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报价一览表</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b w:val="0"/>
          <w:bCs w:val="0"/>
          <w:color w:val="auto"/>
          <w:sz w:val="24"/>
          <w:szCs w:val="24"/>
          <w:highlight w:val="none"/>
          <w:lang w:val="en-US" w:eastAsia="zh-CN"/>
        </w:rPr>
        <w:t>投标人的资格证明材料</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投标承诺书</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投标廉洁承诺函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(6)招标文件要求投标人提交的</w:t>
      </w:r>
      <w:r>
        <w:rPr>
          <w:rFonts w:hint="eastAsia" w:ascii="宋体" w:hAnsi="宋体" w:eastAsia="宋体" w:cs="宋体"/>
          <w:sz w:val="24"/>
          <w:szCs w:val="24"/>
          <w:lang w:eastAsia="zh-CN"/>
        </w:rPr>
        <w:t>其他</w:t>
      </w:r>
      <w:r>
        <w:rPr>
          <w:rFonts w:hint="eastAsia" w:ascii="宋体" w:hAnsi="宋体" w:eastAsia="宋体" w:cs="宋体"/>
          <w:sz w:val="24"/>
          <w:szCs w:val="24"/>
        </w:rPr>
        <w:t>文件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据此函，签字人兹宣布同意如下条款：</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接受招标文件合同条款的全部内容，并</w:t>
      </w:r>
      <w:r>
        <w:rPr>
          <w:rFonts w:hint="eastAsia" w:ascii="宋体" w:hAnsi="宋体" w:eastAsia="宋体" w:cs="宋体"/>
          <w:sz w:val="24"/>
          <w:szCs w:val="24"/>
        </w:rPr>
        <w:t>按</w:t>
      </w:r>
      <w:r>
        <w:rPr>
          <w:rFonts w:hint="eastAsia" w:ascii="宋体" w:hAnsi="宋体" w:eastAsia="宋体" w:cs="宋体"/>
          <w:sz w:val="24"/>
          <w:szCs w:val="24"/>
          <w:lang w:eastAsia="zh-CN"/>
        </w:rPr>
        <w:t>中标价签订合同。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我们承担和完成</w:t>
      </w:r>
      <w:r>
        <w:rPr>
          <w:rFonts w:hint="eastAsia" w:ascii="宋体" w:hAnsi="宋体" w:eastAsia="宋体" w:cs="宋体"/>
          <w:sz w:val="24"/>
          <w:szCs w:val="24"/>
          <w:lang w:eastAsia="zh-CN"/>
        </w:rPr>
        <w:t>投标</w:t>
      </w:r>
      <w:r>
        <w:rPr>
          <w:rFonts w:hint="eastAsia" w:ascii="宋体" w:hAnsi="宋体" w:eastAsia="宋体" w:cs="宋体"/>
          <w:sz w:val="24"/>
          <w:szCs w:val="24"/>
        </w:rPr>
        <w:t>文件的责任义务。</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(3)我们同意在投标人须知规定的投标有效期内遵循本投标书，并在投标人须知规定的投标有效期期满之前具有约束力。</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我们</w:t>
      </w:r>
      <w:r>
        <w:rPr>
          <w:rFonts w:hint="eastAsia" w:ascii="宋体" w:hAnsi="宋体" w:eastAsia="宋体" w:cs="宋体"/>
          <w:sz w:val="24"/>
          <w:szCs w:val="24"/>
        </w:rPr>
        <w:t>同意提供贵方可能要求的与本投标有关的任何证据或资料。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)我们理解贵方不一定要接受最低报价的投标或收到的任何投标。</w:t>
      </w:r>
    </w:p>
    <w:p>
      <w:pPr>
        <w:spacing w:line="480" w:lineRule="exact"/>
        <w:ind w:firstLine="480" w:firstLineChars="200"/>
        <w:rPr>
          <w:rFonts w:hint="default" w:eastAsia="宋体"/>
          <w:lang w:val="en-US" w:eastAsia="zh-CN"/>
        </w:rPr>
      </w:pPr>
      <w:r>
        <w:rPr>
          <w:rFonts w:hint="eastAsia" w:ascii="宋体" w:hAnsi="宋体" w:eastAsia="宋体" w:cs="宋体"/>
          <w:sz w:val="24"/>
          <w:szCs w:val="24"/>
          <w:lang w:val="en-US" w:eastAsia="zh-CN"/>
        </w:rPr>
        <w:t>(6)如中标，我们同意所投含税单价</w:t>
      </w:r>
      <w:r>
        <w:rPr>
          <w:rFonts w:hint="eastAsia" w:ascii="宋体" w:hAnsi="宋体" w:eastAsia="宋体" w:cs="宋体"/>
          <w:sz w:val="24"/>
          <w:szCs w:val="24"/>
        </w:rPr>
        <w:t>在合同</w:t>
      </w:r>
      <w:r>
        <w:rPr>
          <w:rFonts w:hint="eastAsia" w:ascii="宋体" w:hAnsi="宋体" w:cs="宋体"/>
          <w:sz w:val="24"/>
          <w:szCs w:val="24"/>
          <w:lang w:eastAsia="zh-CN"/>
        </w:rPr>
        <w:t>签订后一个月内不随市场行情波动，后续的合同</w:t>
      </w:r>
      <w:r>
        <w:rPr>
          <w:rFonts w:hint="eastAsia" w:ascii="宋体" w:hAnsi="宋体" w:eastAsia="宋体" w:cs="宋体"/>
          <w:sz w:val="24"/>
          <w:szCs w:val="24"/>
        </w:rPr>
        <w:t>执行过程中允许随市场行情波动，甲乙双方协商调价，最终价格以需方调价函为准</w:t>
      </w:r>
      <w:r>
        <w:rPr>
          <w:rFonts w:hint="eastAsia" w:ascii="宋体" w:hAnsi="宋体" w:eastAsia="宋体" w:cs="宋体"/>
          <w:sz w:val="24"/>
          <w:szCs w:val="24"/>
          <w:lang w:eastAsia="zh-CN"/>
        </w:rPr>
        <w:t>。</w:t>
      </w:r>
    </w:p>
    <w:p>
      <w:pPr>
        <w:pStyle w:val="8"/>
        <w:rPr>
          <w:rFonts w:hint="eastAsia"/>
        </w:rPr>
      </w:pPr>
    </w:p>
    <w:p>
      <w:pPr>
        <w:spacing w:line="480" w:lineRule="exact"/>
        <w:ind w:firstLine="1860" w:firstLineChars="775"/>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投标单位名称</w:t>
      </w:r>
      <w:r>
        <w:rPr>
          <w:rFonts w:hint="eastAsia" w:ascii="宋体" w:hAnsi="宋体" w:cs="宋体"/>
          <w:kern w:val="0"/>
          <w:sz w:val="24"/>
          <w:szCs w:val="24"/>
          <w:lang w:eastAsia="zh-CN"/>
        </w:rPr>
        <w:t>（</w:t>
      </w:r>
      <w:r>
        <w:rPr>
          <w:rFonts w:hint="eastAsia" w:ascii="宋体" w:hAnsi="宋体" w:eastAsia="宋体" w:cs="宋体"/>
          <w:kern w:val="0"/>
          <w:sz w:val="24"/>
          <w:szCs w:val="24"/>
        </w:rPr>
        <w:t>加盖公章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default" w:ascii="宋体" w:hAnsi="宋体" w:cs="宋体"/>
          <w:kern w:val="0"/>
          <w:sz w:val="24"/>
          <w:szCs w:val="24"/>
          <w:u w:val="single"/>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法定代表人或</w:t>
      </w:r>
      <w:r>
        <w:rPr>
          <w:rFonts w:hint="eastAsia" w:ascii="宋体" w:hAnsi="宋体" w:cs="宋体"/>
          <w:kern w:val="0"/>
          <w:sz w:val="24"/>
          <w:szCs w:val="24"/>
          <w:lang w:eastAsia="zh-CN"/>
        </w:rPr>
        <w:t>委托代理</w:t>
      </w:r>
      <w:r>
        <w:rPr>
          <w:rFonts w:hint="eastAsia" w:ascii="宋体" w:hAnsi="宋体" w:eastAsia="宋体" w:cs="宋体"/>
          <w:kern w:val="0"/>
          <w:sz w:val="24"/>
          <w:szCs w:val="24"/>
        </w:rPr>
        <w:t>人签字</w:t>
      </w:r>
      <w:r>
        <w:rPr>
          <w:rFonts w:hint="eastAsia" w:ascii="宋体" w:hAnsi="宋体" w:cs="宋体"/>
          <w:kern w:val="0"/>
          <w:sz w:val="24"/>
          <w:szCs w:val="24"/>
          <w:lang w:eastAsia="zh-CN"/>
        </w:rPr>
        <w:t>：</w:t>
      </w:r>
      <w:r>
        <w:rPr>
          <w:rFonts w:hint="eastAsia" w:ascii="宋体" w:hAnsi="宋体" w:cs="宋体"/>
          <w:kern w:val="0"/>
          <w:sz w:val="24"/>
          <w:szCs w:val="24"/>
          <w:u w:val="single"/>
          <w:lang w:val="en-US" w:eastAsia="zh-CN"/>
        </w:rPr>
        <w:t xml:space="preserve">           </w:t>
      </w:r>
    </w:p>
    <w:p>
      <w:pPr>
        <w:spacing w:line="4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adjustRightInd w:val="0"/>
        <w:snapToGrid w:val="0"/>
        <w:spacing w:line="360" w:lineRule="auto"/>
        <w:ind w:right="24"/>
        <w:rPr>
          <w:rFonts w:hint="eastAsia" w:ascii="黑体" w:hAnsi="黑体" w:eastAsia="黑体"/>
          <w:bCs/>
          <w:sz w:val="30"/>
          <w:szCs w:val="30"/>
        </w:rPr>
      </w:pPr>
      <w:r>
        <w:rPr>
          <w:rFonts w:hint="eastAsia" w:ascii="黑体" w:hAnsi="黑体" w:eastAsia="黑体"/>
          <w:bCs/>
          <w:sz w:val="24"/>
        </w:rPr>
        <w:t>附件1</w:t>
      </w:r>
    </w:p>
    <w:p>
      <w:pPr>
        <w:jc w:val="center"/>
        <w:rPr>
          <w:rFonts w:hint="eastAsia" w:ascii="黑体" w:hAnsi="黑体" w:eastAsia="黑体"/>
          <w:b/>
          <w:sz w:val="30"/>
          <w:szCs w:val="30"/>
        </w:rPr>
      </w:pPr>
      <w:r>
        <w:rPr>
          <w:rFonts w:hint="eastAsia" w:ascii="黑体" w:hAnsi="黑体" w:eastAsia="黑体"/>
          <w:b/>
          <w:sz w:val="30"/>
          <w:szCs w:val="30"/>
        </w:rPr>
        <w:t>法定代表人身份证明</w:t>
      </w:r>
    </w:p>
    <w:p>
      <w:pPr>
        <w:snapToGrid w:val="0"/>
        <w:spacing w:line="480" w:lineRule="auto"/>
        <w:rPr>
          <w:rFonts w:hint="eastAsia" w:ascii="宋体" w:hAnsi="宋体"/>
          <w:szCs w:val="21"/>
        </w:rPr>
      </w:pP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sz w:val="24"/>
        </w:rPr>
        <w:t>供应商</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注册号：</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注册地址：</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成立时间：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napToGrid w:val="0"/>
        <w:spacing w:line="360" w:lineRule="auto"/>
        <w:jc w:val="left"/>
        <w:rPr>
          <w:rFonts w:hint="eastAsia"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hint="eastAsia" w:ascii="宋体" w:hAnsi="宋体" w:cs="宋体"/>
          <w:kern w:val="0"/>
          <w:sz w:val="24"/>
          <w:u w:val="single"/>
        </w:rPr>
      </w:pPr>
      <w:r>
        <w:rPr>
          <w:rFonts w:hint="eastAsia" w:ascii="宋体" w:hAnsi="宋体" w:cs="宋体"/>
          <w:kern w:val="0"/>
          <w:sz w:val="24"/>
        </w:rPr>
        <w:t>经营范围：主营：</w:t>
      </w:r>
      <w:r>
        <w:rPr>
          <w:rFonts w:hint="eastAsia" w:ascii="宋体" w:hAnsi="宋体" w:cs="宋体"/>
          <w:kern w:val="0"/>
          <w:sz w:val="24"/>
          <w:u w:val="single"/>
        </w:rPr>
        <w:t xml:space="preserve">              </w:t>
      </w:r>
      <w:r>
        <w:rPr>
          <w:rFonts w:hint="eastAsia" w:ascii="宋体" w:hAnsi="宋体" w:cs="宋体"/>
          <w:kern w:val="0"/>
          <w:sz w:val="24"/>
        </w:rPr>
        <w:t xml:space="preserve"> ；兼营：</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系</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sz w:val="24"/>
        </w:rPr>
        <w:t>供应商</w:t>
      </w:r>
      <w:r>
        <w:rPr>
          <w:rFonts w:hint="eastAsia" w:ascii="宋体" w:hAnsi="宋体" w:cs="宋体"/>
          <w:kern w:val="0"/>
          <w:sz w:val="24"/>
        </w:rPr>
        <w:t>名称）的法定代表人。</w:t>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特此证明。</w:t>
      </w:r>
    </w:p>
    <w:p>
      <w:pPr>
        <w:pStyle w:val="18"/>
        <w:ind w:firstLine="524"/>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245" w:type="dxa"/>
            <w:noWrap w:val="0"/>
            <w:vAlign w:val="center"/>
          </w:tcPr>
          <w:p>
            <w:pPr>
              <w:autoSpaceDE w:val="0"/>
              <w:autoSpaceDN w:val="0"/>
              <w:adjustRightInd w:val="0"/>
              <w:snapToGrid w:val="0"/>
              <w:spacing w:before="156" w:beforeLines="50" w:line="360" w:lineRule="auto"/>
              <w:ind w:firstLine="105" w:firstLineChars="50"/>
              <w:jc w:val="center"/>
              <w:rPr>
                <w:rFonts w:hint="eastAsia" w:ascii="宋体" w:hAnsi="宋体"/>
              </w:rPr>
            </w:pPr>
            <w:r>
              <w:rPr>
                <w:rFonts w:hint="eastAsia" w:ascii="宋体" w:hAnsi="宋体"/>
              </w:rPr>
              <w:t>法定代表人身份证复印件正面</w:t>
            </w:r>
          </w:p>
        </w:tc>
        <w:tc>
          <w:tcPr>
            <w:tcW w:w="4283" w:type="dxa"/>
            <w:noWrap w:val="0"/>
            <w:vAlign w:val="center"/>
          </w:tcPr>
          <w:p>
            <w:pPr>
              <w:adjustRightInd w:val="0"/>
              <w:snapToGrid w:val="0"/>
              <w:spacing w:before="156" w:beforeLines="50" w:line="360" w:lineRule="auto"/>
              <w:jc w:val="center"/>
              <w:rPr>
                <w:rFonts w:hint="eastAsia" w:ascii="宋体" w:hAnsi="宋体"/>
              </w:rPr>
            </w:pPr>
            <w:r>
              <w:rPr>
                <w:rFonts w:hint="eastAsia" w:ascii="宋体" w:hAnsi="宋体"/>
              </w:rPr>
              <w:t>法定代表人身份证复印件反面</w:t>
            </w:r>
          </w:p>
        </w:tc>
      </w:tr>
    </w:tbl>
    <w:p>
      <w:pPr>
        <w:snapToGrid w:val="0"/>
        <w:rPr>
          <w:rFonts w:hint="eastAsia" w:ascii="宋体" w:hAnsi="宋体"/>
          <w:sz w:val="24"/>
        </w:rPr>
      </w:pPr>
    </w:p>
    <w:p>
      <w:pPr>
        <w:adjustRightInd w:val="0"/>
        <w:snapToGrid w:val="0"/>
        <w:spacing w:line="360" w:lineRule="auto"/>
        <w:rPr>
          <w:rFonts w:hint="eastAsia" w:ascii="宋体" w:hAnsi="宋体"/>
          <w:sz w:val="24"/>
        </w:rPr>
      </w:pPr>
    </w:p>
    <w:p>
      <w:pPr>
        <w:adjustRightInd w:val="0"/>
        <w:snapToGrid w:val="0"/>
        <w:spacing w:line="360" w:lineRule="auto"/>
        <w:ind w:right="420"/>
        <w:rPr>
          <w:rFonts w:hint="eastAsia" w:ascii="宋体" w:hAnsi="宋体"/>
          <w:sz w:val="24"/>
        </w:rPr>
      </w:pPr>
      <w:r>
        <w:rPr>
          <w:rFonts w:hint="eastAsia" w:ascii="宋体" w:hAnsi="宋体"/>
          <w:sz w:val="24"/>
          <w:lang w:eastAsia="zh-CN"/>
        </w:rPr>
        <w:t>投标人</w:t>
      </w:r>
      <w:r>
        <w:rPr>
          <w:rFonts w:hint="eastAsia" w:ascii="宋体" w:hAnsi="宋体"/>
          <w:sz w:val="24"/>
        </w:rPr>
        <w:t>名称（盖单位章）：</w:t>
      </w:r>
    </w:p>
    <w:p>
      <w:pPr>
        <w:adjustRightInd w:val="0"/>
        <w:snapToGrid w:val="0"/>
        <w:spacing w:line="360" w:lineRule="auto"/>
        <w:ind w:right="420"/>
        <w:rPr>
          <w:rFonts w:hint="eastAsia" w:ascii="仿宋_GB2312" w:hAnsi="宋体" w:eastAsia="仿宋_GB2312"/>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djustRightInd w:val="0"/>
        <w:snapToGrid w:val="0"/>
        <w:spacing w:line="360" w:lineRule="auto"/>
        <w:ind w:right="24"/>
        <w:rPr>
          <w:rFonts w:hint="eastAsia" w:ascii="黑体" w:hAnsi="黑体" w:eastAsia="黑体"/>
          <w:bCs/>
          <w:sz w:val="24"/>
        </w:rPr>
      </w:pPr>
      <w:r>
        <w:rPr>
          <w:rFonts w:ascii="仿宋_GB2312" w:hAnsi="宋体" w:eastAsia="仿宋_GB2312"/>
          <w:szCs w:val="21"/>
        </w:rPr>
        <w:br w:type="page"/>
      </w:r>
      <w:r>
        <w:rPr>
          <w:rFonts w:hint="eastAsia" w:ascii="黑体" w:hAnsi="黑体" w:eastAsia="黑体"/>
          <w:bCs/>
          <w:sz w:val="24"/>
        </w:rPr>
        <w:t>附件2</w:t>
      </w:r>
    </w:p>
    <w:p>
      <w:pPr>
        <w:jc w:val="center"/>
        <w:rPr>
          <w:rFonts w:hint="eastAsia" w:ascii="黑体" w:hAnsi="黑体" w:eastAsia="黑体"/>
          <w:b/>
          <w:sz w:val="30"/>
          <w:szCs w:val="30"/>
        </w:rPr>
      </w:pPr>
      <w:r>
        <w:rPr>
          <w:rFonts w:hint="eastAsia" w:ascii="黑体" w:hAnsi="黑体" w:eastAsia="黑体"/>
          <w:b/>
          <w:sz w:val="30"/>
          <w:szCs w:val="30"/>
        </w:rPr>
        <w:t>法定代表人授权委托书</w:t>
      </w:r>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80" w:firstLineChars="200"/>
        <w:jc w:val="left"/>
        <w:rPr>
          <w:rFonts w:hint="eastAsia"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（姓名、职务）系</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sz w:val="24"/>
        </w:rPr>
        <w:t>供应商</w:t>
      </w:r>
      <w:r>
        <w:rPr>
          <w:rFonts w:hint="eastAsia" w:ascii="宋体" w:hAnsi="宋体" w:cs="宋体"/>
          <w:kern w:val="0"/>
          <w:sz w:val="24"/>
        </w:rPr>
        <w:t>名称）的法定代表人，现授权</w:t>
      </w:r>
      <w:r>
        <w:rPr>
          <w:rFonts w:hint="eastAsia" w:ascii="宋体" w:hAnsi="宋体" w:cs="宋体"/>
          <w:kern w:val="0"/>
          <w:sz w:val="24"/>
          <w:u w:val="single"/>
        </w:rPr>
        <w:t xml:space="preserve">          </w:t>
      </w:r>
      <w:r>
        <w:rPr>
          <w:rFonts w:hint="eastAsia" w:ascii="宋体" w:hAnsi="宋体" w:cs="宋体"/>
          <w:kern w:val="0"/>
          <w:sz w:val="24"/>
        </w:rPr>
        <w:t>（姓名、职务）为我方代理人。代理人根据授权，以我方名义：(1)签署、澄清、补正、修改、撤回、提交</w:t>
      </w:r>
      <w:r>
        <w:rPr>
          <w:rFonts w:hint="eastAsia" w:ascii="宋体" w:hAnsi="宋体" w:cs="宋体"/>
          <w:kern w:val="0"/>
          <w:sz w:val="24"/>
          <w:u w:val="single"/>
        </w:rPr>
        <w:t xml:space="preserve">                     </w:t>
      </w:r>
      <w:r>
        <w:rPr>
          <w:rFonts w:hint="eastAsia" w:ascii="宋体" w:hAnsi="宋体" w:cs="宋体"/>
          <w:kern w:val="0"/>
          <w:sz w:val="24"/>
        </w:rPr>
        <w:t>（项目名称）</w:t>
      </w:r>
      <w:r>
        <w:rPr>
          <w:rFonts w:hint="eastAsia" w:ascii="宋体" w:hAnsi="宋体" w:cs="宋体"/>
          <w:kern w:val="0"/>
          <w:sz w:val="24"/>
          <w:lang w:eastAsia="zh-CN"/>
        </w:rPr>
        <w:t>投标</w:t>
      </w:r>
      <w:r>
        <w:rPr>
          <w:rFonts w:hint="eastAsia" w:ascii="宋体" w:hAnsi="宋体" w:cs="宋体"/>
          <w:kern w:val="0"/>
          <w:sz w:val="24"/>
        </w:rPr>
        <w:t>文件；(2)签订合同、询问、质疑、投诉等相关事项，其法律后果由我方承担。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line="360" w:lineRule="auto"/>
        <w:ind w:firstLine="435"/>
        <w:rPr>
          <w:rFonts w:hint="eastAsia" w:ascii="宋体" w:hAnsi="宋体" w:cs="宋体"/>
          <w:kern w:val="0"/>
          <w:sz w:val="24"/>
        </w:rPr>
      </w:pPr>
      <w:r>
        <w:rPr>
          <w:rFonts w:hint="eastAsia" w:ascii="宋体" w:hAnsi="宋体" w:cs="宋体"/>
          <w:kern w:val="0"/>
          <w:sz w:val="24"/>
        </w:rPr>
        <w:t>代理人无转委托权。</w:t>
      </w:r>
    </w:p>
    <w:p>
      <w:pPr>
        <w:spacing w:line="360" w:lineRule="auto"/>
        <w:ind w:firstLine="435"/>
        <w:rPr>
          <w:rFonts w:hint="eastAsia"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附：法定代表人身份证明(附件1，原件)</w:t>
      </w:r>
    </w:p>
    <w:p>
      <w:pPr>
        <w:adjustRightInd w:val="0"/>
        <w:snapToGrid w:val="0"/>
        <w:spacing w:before="156" w:beforeLines="50" w:line="360" w:lineRule="auto"/>
        <w:ind w:firstLine="482" w:firstLineChars="200"/>
        <w:rPr>
          <w:rFonts w:hint="eastAsia" w:ascii="宋体" w:hAnsi="宋体"/>
          <w:b/>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pPr>
              <w:autoSpaceDE w:val="0"/>
              <w:autoSpaceDN w:val="0"/>
              <w:adjustRightInd w:val="0"/>
              <w:snapToGrid w:val="0"/>
              <w:spacing w:before="156" w:beforeLines="50" w:line="360" w:lineRule="auto"/>
              <w:ind w:firstLine="120" w:firstLineChars="50"/>
              <w:jc w:val="center"/>
              <w:rPr>
                <w:rFonts w:hint="eastAsia" w:ascii="宋体" w:hAnsi="宋体" w:cs="宋体"/>
                <w:kern w:val="0"/>
                <w:sz w:val="24"/>
              </w:rPr>
            </w:pPr>
            <w:r>
              <w:rPr>
                <w:rFonts w:hint="eastAsia" w:ascii="宋体" w:hAnsi="宋体"/>
                <w:sz w:val="24"/>
              </w:rPr>
              <w:t>委托代理人身份证复印件正面</w:t>
            </w:r>
          </w:p>
        </w:tc>
        <w:tc>
          <w:tcPr>
            <w:tcW w:w="4283" w:type="dxa"/>
            <w:noWrap w:val="0"/>
            <w:vAlign w:val="center"/>
          </w:tcPr>
          <w:p>
            <w:pPr>
              <w:adjustRightInd w:val="0"/>
              <w:snapToGrid w:val="0"/>
              <w:spacing w:before="156" w:beforeLines="50" w:line="360" w:lineRule="auto"/>
              <w:jc w:val="center"/>
              <w:rPr>
                <w:rFonts w:hint="eastAsia" w:ascii="宋体" w:hAnsi="宋体"/>
                <w:sz w:val="24"/>
              </w:rPr>
            </w:pPr>
            <w:r>
              <w:rPr>
                <w:rFonts w:hint="eastAsia" w:ascii="宋体" w:hAnsi="宋体"/>
                <w:sz w:val="24"/>
              </w:rPr>
              <w:t>委托代理人身份证复印件反面</w:t>
            </w:r>
          </w:p>
        </w:tc>
      </w:tr>
    </w:tbl>
    <w:p>
      <w:pPr>
        <w:adjustRightInd w:val="0"/>
        <w:snapToGrid w:val="0"/>
        <w:spacing w:line="360" w:lineRule="auto"/>
        <w:ind w:right="420"/>
        <w:rPr>
          <w:rFonts w:hint="eastAsia" w:ascii="宋体" w:hAnsi="宋体"/>
          <w:sz w:val="24"/>
        </w:rPr>
      </w:pPr>
    </w:p>
    <w:p>
      <w:pPr>
        <w:adjustRightInd w:val="0"/>
        <w:snapToGrid w:val="0"/>
        <w:spacing w:line="360" w:lineRule="auto"/>
        <w:ind w:right="420"/>
        <w:rPr>
          <w:rFonts w:hint="eastAsia" w:ascii="宋体" w:hAnsi="宋体"/>
          <w:sz w:val="24"/>
        </w:rPr>
      </w:pPr>
    </w:p>
    <w:p>
      <w:pPr>
        <w:adjustRightInd w:val="0"/>
        <w:snapToGrid w:val="0"/>
        <w:spacing w:line="360" w:lineRule="auto"/>
        <w:ind w:right="420"/>
        <w:rPr>
          <w:rFonts w:hint="eastAsia" w:ascii="宋体" w:hAnsi="宋体"/>
          <w:sz w:val="24"/>
        </w:rPr>
      </w:pPr>
      <w:r>
        <w:rPr>
          <w:rFonts w:hint="eastAsia" w:ascii="宋体" w:hAnsi="宋体"/>
          <w:sz w:val="24"/>
        </w:rPr>
        <w:t>法定代表人（签字）：</w:t>
      </w:r>
      <w:r>
        <w:rPr>
          <w:rFonts w:hint="eastAsia" w:ascii="宋体" w:hAnsi="宋体"/>
          <w:sz w:val="24"/>
          <w:u w:val="single"/>
        </w:rPr>
        <w:t xml:space="preserve">                     </w:t>
      </w:r>
    </w:p>
    <w:p>
      <w:pPr>
        <w:adjustRightInd w:val="0"/>
        <w:snapToGrid w:val="0"/>
        <w:spacing w:line="360" w:lineRule="auto"/>
        <w:ind w:right="420"/>
        <w:rPr>
          <w:rFonts w:hint="eastAsia" w:ascii="宋体" w:hAnsi="宋体"/>
          <w:sz w:val="24"/>
        </w:rPr>
      </w:pPr>
      <w:r>
        <w:rPr>
          <w:rFonts w:hint="eastAsia" w:ascii="宋体" w:hAnsi="宋体"/>
          <w:sz w:val="24"/>
        </w:rPr>
        <w:t>委托代理人（签字）：</w:t>
      </w:r>
      <w:r>
        <w:rPr>
          <w:rFonts w:hint="eastAsia" w:ascii="宋体" w:hAnsi="宋体"/>
          <w:sz w:val="24"/>
          <w:u w:val="single"/>
        </w:rPr>
        <w:t xml:space="preserve">                     </w:t>
      </w:r>
    </w:p>
    <w:p>
      <w:pPr>
        <w:adjustRightInd w:val="0"/>
        <w:snapToGrid w:val="0"/>
        <w:spacing w:line="360" w:lineRule="auto"/>
        <w:ind w:right="24"/>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黑体" w:hAnsi="黑体" w:eastAsia="黑体" w:cs="黑体"/>
          <w:b w:val="0"/>
          <w:bCs w:val="0"/>
          <w:color w:val="auto"/>
          <w:sz w:val="32"/>
          <w:szCs w:val="32"/>
          <w:highlight w:val="none"/>
          <w:lang w:val="en-US" w:eastAsia="zh-CN"/>
        </w:rPr>
      </w:pPr>
    </w:p>
    <w:p>
      <w:pPr>
        <w:rPr>
          <w:rFonts w:hint="eastAsia" w:ascii="黑体" w:hAnsi="黑体" w:eastAsia="黑体" w:cs="黑体"/>
          <w:b w:val="0"/>
          <w:bCs w:val="0"/>
          <w:color w:val="auto"/>
          <w:sz w:val="32"/>
          <w:szCs w:val="32"/>
          <w:highlight w:val="none"/>
          <w:lang w:val="en-US" w:eastAsia="zh-CN"/>
        </w:r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二、报价一览表</w:t>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440"/>
        <w:gridCol w:w="2248"/>
        <w:gridCol w:w="195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品名</w:t>
            </w:r>
          </w:p>
        </w:tc>
        <w:tc>
          <w:tcPr>
            <w:tcW w:w="77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标段号</w:t>
            </w:r>
          </w:p>
        </w:tc>
        <w:tc>
          <w:tcPr>
            <w:tcW w:w="120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标的地</w:t>
            </w:r>
          </w:p>
        </w:tc>
        <w:tc>
          <w:tcPr>
            <w:tcW w:w="1049" w:type="pct"/>
            <w:tcBorders>
              <w:left w:val="single" w:color="auto" w:sz="4" w:space="0"/>
            </w:tcBorders>
            <w:vAlign w:val="center"/>
          </w:tcPr>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3%税率到岸价</w:t>
            </w:r>
          </w:p>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(元</w:t>
            </w:r>
            <w:r>
              <w:rPr>
                <w:rFonts w:hint="eastAsia" w:ascii="宋体" w:hAnsi="宋体" w:eastAsia="宋体" w:cs="宋体"/>
                <w:b/>
                <w:bCs w:val="0"/>
                <w:color w:val="0000FF"/>
                <w:sz w:val="24"/>
                <w:szCs w:val="24"/>
                <w:vertAlign w:val="baseline"/>
                <w:lang w:val="en-US" w:eastAsia="zh-CN"/>
              </w:rPr>
              <w:t>/吨</w:t>
            </w:r>
            <w:r>
              <w:rPr>
                <w:rFonts w:hint="eastAsia" w:ascii="宋体" w:hAnsi="宋体" w:eastAsia="宋体" w:cs="宋体"/>
                <w:b/>
                <w:bCs w:val="0"/>
                <w:sz w:val="24"/>
                <w:szCs w:val="24"/>
                <w:vertAlign w:val="baseline"/>
                <w:lang w:val="en-US" w:eastAsia="zh-CN"/>
              </w:rPr>
              <w:t>）</w:t>
            </w:r>
          </w:p>
        </w:tc>
        <w:tc>
          <w:tcPr>
            <w:tcW w:w="1295" w:type="pct"/>
            <w:vAlign w:val="center"/>
          </w:tcPr>
          <w:p>
            <w:pPr>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13%税率到岸价</w:t>
            </w:r>
          </w:p>
          <w:p>
            <w:pPr>
              <w:jc w:val="center"/>
              <w:rPr>
                <w:rFonts w:hint="eastAsia" w:ascii="宋体" w:hAnsi="宋体" w:eastAsia="宋体" w:cs="宋体"/>
                <w:b/>
                <w:bCs w:val="0"/>
                <w:kern w:val="2"/>
                <w:sz w:val="24"/>
                <w:szCs w:val="24"/>
                <w:vertAlign w:val="baseline"/>
                <w:lang w:val="en-US" w:eastAsia="zh-CN" w:bidi="ar-SA"/>
              </w:rPr>
            </w:pPr>
            <w:r>
              <w:rPr>
                <w:rFonts w:hint="eastAsia" w:ascii="宋体" w:hAnsi="宋体" w:eastAsia="宋体" w:cs="宋体"/>
                <w:b/>
                <w:bCs w:val="0"/>
                <w:sz w:val="24"/>
                <w:szCs w:val="24"/>
                <w:vertAlign w:val="baseline"/>
                <w:lang w:val="en-US" w:eastAsia="zh-CN"/>
              </w:rPr>
              <w:t>（元</w:t>
            </w:r>
            <w:r>
              <w:rPr>
                <w:rFonts w:hint="eastAsia" w:ascii="宋体" w:hAnsi="宋体" w:eastAsia="宋体" w:cs="宋体"/>
                <w:b/>
                <w:bCs w:val="0"/>
                <w:color w:val="0000FF"/>
                <w:sz w:val="24"/>
                <w:szCs w:val="24"/>
                <w:vertAlign w:val="baseline"/>
                <w:lang w:val="en-US" w:eastAsia="zh-CN"/>
              </w:rPr>
              <w:t>/吨</w:t>
            </w:r>
            <w:r>
              <w:rPr>
                <w:rFonts w:hint="eastAsia" w:ascii="宋体" w:hAnsi="宋体" w:eastAsia="宋体" w:cs="宋体"/>
                <w:b/>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9" w:type="pct"/>
            <w:vMerge w:val="continue"/>
            <w:tcBorders>
              <w:top w:val="single" w:color="auto" w:sz="4" w:space="0"/>
              <w:left w:val="single" w:color="auto" w:sz="4" w:space="0"/>
              <w:bottom w:val="single" w:color="auto" w:sz="4" w:space="0"/>
            </w:tcBorders>
            <w:vAlign w:val="center"/>
          </w:tcPr>
          <w:p>
            <w:pPr>
              <w:jc w:val="center"/>
              <w:rPr>
                <w:rFonts w:hint="eastAsia" w:ascii="宋体" w:hAnsi="宋体" w:eastAsia="宋体" w:cs="宋体"/>
                <w:b/>
                <w:sz w:val="24"/>
                <w:szCs w:val="24"/>
                <w:vertAlign w:val="baseline"/>
              </w:rPr>
            </w:pPr>
          </w:p>
        </w:tc>
        <w:tc>
          <w:tcPr>
            <w:tcW w:w="771" w:type="pct"/>
            <w:vMerge w:val="continue"/>
            <w:tcBorders>
              <w:top w:val="single" w:color="auto" w:sz="4" w:space="0"/>
              <w:bottom w:val="single" w:color="auto" w:sz="4" w:space="0"/>
            </w:tcBorders>
            <w:vAlign w:val="center"/>
          </w:tcPr>
          <w:p>
            <w:pPr>
              <w:jc w:val="center"/>
              <w:rPr>
                <w:rFonts w:hint="eastAsia" w:ascii="宋体" w:hAnsi="宋体" w:eastAsia="宋体" w:cs="宋体"/>
                <w:b/>
                <w:sz w:val="24"/>
                <w:szCs w:val="24"/>
                <w:vertAlign w:val="baseline"/>
              </w:rPr>
            </w:pPr>
          </w:p>
        </w:tc>
        <w:tc>
          <w:tcPr>
            <w:tcW w:w="1204" w:type="pct"/>
            <w:vMerge w:val="continue"/>
            <w:tcBorders>
              <w:top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vertAlign w:val="baseline"/>
              </w:rPr>
            </w:pPr>
          </w:p>
        </w:tc>
        <w:tc>
          <w:tcPr>
            <w:tcW w:w="1049" w:type="pct"/>
            <w:tcBorders>
              <w:left w:val="single" w:color="auto" w:sz="4" w:space="0"/>
            </w:tcBorders>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报价</w:t>
            </w:r>
          </w:p>
        </w:tc>
        <w:tc>
          <w:tcPr>
            <w:tcW w:w="1295" w:type="pct"/>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val="en-US" w:eastAsia="zh-CN"/>
              </w:rPr>
              <w:t>标底价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9" w:type="pct"/>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碎石</w:t>
            </w:r>
          </w:p>
        </w:tc>
        <w:tc>
          <w:tcPr>
            <w:tcW w:w="771" w:type="pct"/>
            <w:vAlign w:val="center"/>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kern w:val="2"/>
                <w:sz w:val="24"/>
                <w:szCs w:val="24"/>
                <w:lang w:val="en-US" w:eastAsia="zh-CN" w:bidi="ar-SA"/>
              </w:rPr>
              <w:t>标段</w:t>
            </w:r>
          </w:p>
        </w:tc>
        <w:tc>
          <w:tcPr>
            <w:tcW w:w="1204" w:type="pct"/>
            <w:vAlign w:val="center"/>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铜官南方新材料</w:t>
            </w:r>
          </w:p>
        </w:tc>
        <w:tc>
          <w:tcPr>
            <w:tcW w:w="1049" w:type="pct"/>
            <w:vAlign w:val="center"/>
          </w:tcPr>
          <w:p>
            <w:pPr>
              <w:jc w:val="both"/>
              <w:rPr>
                <w:rFonts w:hint="eastAsia" w:ascii="宋体" w:hAnsi="宋体" w:eastAsia="宋体" w:cs="宋体"/>
                <w:b w:val="0"/>
                <w:bCs/>
                <w:sz w:val="24"/>
                <w:szCs w:val="24"/>
                <w:vertAlign w:val="baseline"/>
                <w:lang w:val="en-US" w:eastAsia="zh-CN"/>
              </w:rPr>
            </w:pPr>
          </w:p>
        </w:tc>
        <w:tc>
          <w:tcPr>
            <w:tcW w:w="1295" w:type="pct"/>
            <w:vAlign w:val="center"/>
          </w:tcPr>
          <w:p>
            <w:pPr>
              <w:jc w:val="both"/>
              <w:rPr>
                <w:rFonts w:hint="eastAsia"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9" w:type="pct"/>
            <w:vMerge w:val="restart"/>
            <w:vAlign w:val="center"/>
          </w:tcPr>
          <w:p>
            <w:pPr>
              <w:bidi w:val="0"/>
              <w:jc w:val="center"/>
              <w:rPr>
                <w:rFonts w:hint="eastAsia" w:ascii="宋体" w:hAnsi="宋体" w:eastAsia="宋体" w:cs="宋体"/>
                <w:b/>
                <w:sz w:val="24"/>
                <w:szCs w:val="24"/>
                <w:vertAlign w:val="baseline"/>
              </w:rPr>
            </w:pPr>
            <w:r>
              <w:rPr>
                <w:rFonts w:hint="eastAsia" w:ascii="宋体" w:hAnsi="宋体" w:eastAsia="宋体" w:cs="宋体"/>
                <w:sz w:val="24"/>
                <w:szCs w:val="24"/>
                <w:lang w:val="en-US" w:eastAsia="zh-CN"/>
              </w:rPr>
              <w:t>机制砂</w:t>
            </w:r>
          </w:p>
        </w:tc>
        <w:tc>
          <w:tcPr>
            <w:tcW w:w="771" w:type="pct"/>
            <w:vAlign w:val="center"/>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二标段</w:t>
            </w:r>
          </w:p>
        </w:tc>
        <w:tc>
          <w:tcPr>
            <w:tcW w:w="1204" w:type="pct"/>
            <w:vAlign w:val="center"/>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长沙西本部</w:t>
            </w:r>
          </w:p>
        </w:tc>
        <w:tc>
          <w:tcPr>
            <w:tcW w:w="1049" w:type="pct"/>
            <w:vAlign w:val="center"/>
          </w:tcPr>
          <w:p>
            <w:pPr>
              <w:jc w:val="both"/>
              <w:rPr>
                <w:rFonts w:hint="eastAsia" w:ascii="宋体" w:hAnsi="宋体" w:eastAsia="宋体" w:cs="宋体"/>
                <w:b w:val="0"/>
                <w:bCs/>
                <w:sz w:val="24"/>
                <w:szCs w:val="24"/>
                <w:vertAlign w:val="baseline"/>
                <w:lang w:val="en-US" w:eastAsia="zh-CN"/>
              </w:rPr>
            </w:pPr>
          </w:p>
        </w:tc>
        <w:tc>
          <w:tcPr>
            <w:tcW w:w="1295" w:type="pct"/>
            <w:vAlign w:val="center"/>
          </w:tcPr>
          <w:p>
            <w:pPr>
              <w:jc w:val="center"/>
              <w:rPr>
                <w:rFonts w:hint="eastAsia"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79" w:type="pct"/>
            <w:vMerge w:val="continue"/>
            <w:vAlign w:val="center"/>
          </w:tcPr>
          <w:p>
            <w:pPr>
              <w:widowControl/>
              <w:spacing w:line="252" w:lineRule="auto"/>
              <w:jc w:val="center"/>
              <w:rPr>
                <w:rFonts w:hint="eastAsia" w:ascii="宋体" w:hAnsi="宋体" w:eastAsia="宋体" w:cs="宋体"/>
                <w:b/>
                <w:sz w:val="24"/>
                <w:szCs w:val="24"/>
                <w:vertAlign w:val="baseline"/>
              </w:rPr>
            </w:pPr>
          </w:p>
        </w:tc>
        <w:tc>
          <w:tcPr>
            <w:tcW w:w="771" w:type="pct"/>
            <w:vAlign w:val="center"/>
          </w:tcPr>
          <w:p>
            <w:pPr>
              <w:widowControl/>
              <w:spacing w:line="252"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三标段</w:t>
            </w:r>
          </w:p>
        </w:tc>
        <w:tc>
          <w:tcPr>
            <w:tcW w:w="1204" w:type="pct"/>
            <w:vAlign w:val="center"/>
          </w:tcPr>
          <w:p>
            <w:pPr>
              <w:widowControl/>
              <w:spacing w:line="25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铜官中煌</w:t>
            </w:r>
          </w:p>
        </w:tc>
        <w:tc>
          <w:tcPr>
            <w:tcW w:w="1049" w:type="pct"/>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本项不报价</w:t>
            </w:r>
          </w:p>
        </w:tc>
        <w:tc>
          <w:tcPr>
            <w:tcW w:w="1295" w:type="pct"/>
            <w:vAlign w:val="center"/>
          </w:tcPr>
          <w:p>
            <w:pPr>
              <w:jc w:val="both"/>
              <w:rPr>
                <w:rFonts w:hint="eastAsia" w:ascii="宋体" w:hAnsi="宋体" w:eastAsia="宋体" w:cs="宋体"/>
                <w:b w:val="0"/>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color w:val="0000FF"/>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我方（单位）已认真研阅贵公司发布的本招标文件，知悉并认同招标文件内容，对本招标文件内容无任何疑义；如我公司中选，我公司将严格按照与贵公司成员企业签订的砂石采购合同和贵公司招标文件的规定，全面、及时、严格的履行砂石供应义务。</w:t>
            </w:r>
          </w:p>
        </w:tc>
      </w:tr>
    </w:tbl>
    <w:p>
      <w:pPr>
        <w:jc w:val="both"/>
        <w:rPr>
          <w:rFonts w:ascii="宋体" w:hAnsi="宋体"/>
          <w:b/>
          <w:szCs w:val="21"/>
        </w:rPr>
      </w:pP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2"/>
        </w:rPr>
      </w:pPr>
      <w:bookmarkStart w:id="5" w:name="_Toc159040889"/>
      <w:bookmarkStart w:id="6" w:name="_Toc48199909"/>
      <w:bookmarkStart w:id="7" w:name="_Toc98580426"/>
      <w:r>
        <w:rPr>
          <w:rFonts w:hint="eastAsia" w:ascii="宋体" w:hAnsi="宋体" w:cs="宋体"/>
          <w:sz w:val="22"/>
          <w:szCs w:val="22"/>
          <w:lang w:eastAsia="zh-CN"/>
        </w:rPr>
        <w:t>报价说明</w:t>
      </w:r>
      <w:r>
        <w:rPr>
          <w:rFonts w:hint="eastAsia" w:ascii="宋体" w:hAnsi="宋体" w:eastAsia="宋体" w:cs="宋体"/>
          <w:sz w:val="22"/>
          <w:szCs w:val="22"/>
        </w:rPr>
        <w:t>：</w:t>
      </w: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1：报价须知：一标段铜官南方新材料3%税率到岸价报价不得高于101元/吨，13%税率到岸价报价不高于107元/吨；二标段长沙西本部3%税率到岸价报价不得高于101元/吨，13%税率到岸价报价不高于106元/吨；三标段13%税率到岸价报价不得高于109元/吨，3%税率到岸价不报价（此项送货不含3%税率）。</w:t>
      </w: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2.投标到站总价为最终报价，只接受投标单位一次报价。一家投标单位可投报多个标段，报价单位对投标标段空白处必须填写完整，且报价不能高于</w:t>
      </w:r>
      <w:r>
        <w:rPr>
          <w:rFonts w:hint="eastAsia" w:ascii="宋体" w:hAnsi="宋体" w:eastAsia="宋体" w:cs="宋体"/>
          <w:b w:val="0"/>
          <w:bCs w:val="0"/>
          <w:color w:val="0000FF"/>
          <w:sz w:val="22"/>
          <w:szCs w:val="22"/>
          <w:lang w:val="en-US" w:eastAsia="zh-CN"/>
        </w:rPr>
        <w:t>相应标段的</w:t>
      </w:r>
      <w:r>
        <w:rPr>
          <w:rFonts w:hint="eastAsia" w:ascii="宋体" w:hAnsi="宋体" w:eastAsia="宋体" w:cs="宋体"/>
          <w:b w:val="0"/>
          <w:bCs w:val="0"/>
          <w:color w:val="000000" w:themeColor="text1"/>
          <w:sz w:val="22"/>
          <w:szCs w:val="22"/>
          <w:lang w:val="en-US" w:eastAsia="zh-CN"/>
          <w14:textFill>
            <w14:solidFill>
              <w14:schemeClr w14:val="tx1"/>
            </w14:solidFill>
          </w14:textFill>
        </w:rPr>
        <w:t>上限价，高于上限价报价视为放弃报价。</w:t>
      </w: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w:t>
      </w:r>
      <w:r>
        <w:rPr>
          <w:rFonts w:hint="eastAsia" w:ascii="宋体" w:hAnsi="宋体" w:eastAsia="宋体" w:cs="宋体"/>
          <w:b w:val="0"/>
          <w:bCs w:val="0"/>
          <w:color w:val="auto"/>
          <w:sz w:val="22"/>
          <w:szCs w:val="22"/>
        </w:rPr>
        <w:t>到达</w:t>
      </w:r>
      <w:r>
        <w:rPr>
          <w:rFonts w:hint="eastAsia" w:ascii="宋体" w:hAnsi="宋体" w:eastAsia="宋体" w:cs="宋体"/>
          <w:b w:val="0"/>
          <w:bCs w:val="0"/>
          <w:color w:val="auto"/>
          <w:sz w:val="22"/>
          <w:szCs w:val="22"/>
          <w:lang w:val="en-US" w:eastAsia="zh-CN"/>
        </w:rPr>
        <w:t>需方</w:t>
      </w:r>
      <w:r>
        <w:rPr>
          <w:rFonts w:hint="eastAsia" w:ascii="宋体" w:hAnsi="宋体" w:eastAsia="宋体" w:cs="宋体"/>
          <w:b w:val="0"/>
          <w:bCs w:val="0"/>
          <w:color w:val="auto"/>
          <w:sz w:val="22"/>
          <w:szCs w:val="22"/>
        </w:rPr>
        <w:t>检验合格后并卸载到指定场地的每吨总价</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lang w:val="en-US" w:eastAsia="zh-CN"/>
        </w:rPr>
        <w:t>3%税率及13%税率）</w:t>
      </w:r>
      <w:r>
        <w:rPr>
          <w:rFonts w:hint="eastAsia" w:ascii="宋体" w:hAnsi="宋体" w:eastAsia="宋体" w:cs="宋体"/>
          <w:b w:val="0"/>
          <w:bCs w:val="0"/>
          <w:color w:val="auto"/>
          <w:sz w:val="22"/>
          <w:szCs w:val="22"/>
        </w:rPr>
        <w:t>，包括出厂价、</w:t>
      </w:r>
      <w:r>
        <w:rPr>
          <w:rFonts w:hint="eastAsia" w:ascii="宋体" w:hAnsi="宋体" w:eastAsia="宋体" w:cs="宋体"/>
          <w:b w:val="0"/>
          <w:bCs w:val="0"/>
          <w:color w:val="auto"/>
          <w:sz w:val="22"/>
          <w:szCs w:val="22"/>
          <w:lang w:val="en-US" w:eastAsia="zh-CN"/>
        </w:rPr>
        <w:t>运费、税费、利润。</w:t>
      </w: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4.运距参考：铜官南方新材料距浏阳市城区115公里，长沙西本部距浏阳市城区118公里，铜官中煌距浏阳市城区140公里。</w:t>
      </w:r>
    </w:p>
    <w:p>
      <w:pPr>
        <w:pStyle w:val="51"/>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5.结算方式：供货商以上述三站签字磅单数量为结算依据，按现金支付具体以签订合同为准。</w:t>
      </w:r>
    </w:p>
    <w:p>
      <w:pPr>
        <w:spacing w:line="360" w:lineRule="auto"/>
        <w:ind w:firstLine="7560" w:firstLineChars="27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2970" w:firstLineChars="1350"/>
        <w:textAlignment w:val="auto"/>
        <w:rPr>
          <w:rFonts w:hint="eastAsia" w:ascii="宋体" w:hAnsi="宋体" w:eastAsia="宋体" w:cs="宋体"/>
          <w:sz w:val="22"/>
          <w:szCs w:val="22"/>
        </w:rPr>
      </w:pPr>
      <w:r>
        <w:rPr>
          <w:rFonts w:hint="eastAsia" w:ascii="宋体" w:hAnsi="宋体" w:eastAsia="宋体" w:cs="宋体"/>
          <w:sz w:val="22"/>
          <w:szCs w:val="22"/>
        </w:rPr>
        <w:t>投标人：（公章）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970" w:firstLineChars="1350"/>
        <w:textAlignment w:val="auto"/>
        <w:rPr>
          <w:rFonts w:hint="default" w:ascii="宋体" w:hAnsi="宋体" w:eastAsia="宋体" w:cs="宋体"/>
          <w:sz w:val="22"/>
          <w:szCs w:val="22"/>
          <w:u w:val="none"/>
          <w:lang w:val="en-US" w:eastAsia="zh-CN"/>
        </w:rPr>
      </w:pPr>
      <w:r>
        <w:rPr>
          <w:rFonts w:hint="eastAsia" w:ascii="宋体" w:hAnsi="宋体" w:eastAsia="宋体" w:cs="宋体"/>
          <w:sz w:val="22"/>
          <w:szCs w:val="22"/>
        </w:rPr>
        <w:t>法定代表人或委托代理人（签名）：</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199" w:firstLineChars="1909"/>
        <w:jc w:val="left"/>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日期</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2022年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日</w:t>
      </w:r>
    </w:p>
    <w:p>
      <w:pPr>
        <w:pStyle w:val="8"/>
        <w:rPr>
          <w:rFonts w:hint="eastAsia"/>
        </w:rPr>
      </w:pPr>
    </w:p>
    <w:p>
      <w:pPr>
        <w:rPr>
          <w:rFonts w:hint="eastAsia"/>
        </w:rPr>
        <w:sectPr>
          <w:pgSz w:w="11906" w:h="16838"/>
          <w:pgMar w:top="1531" w:right="1304" w:bottom="1417" w:left="1474" w:header="851" w:footer="992" w:gutter="0"/>
          <w:pgNumType w:fmt="decimal"/>
          <w:cols w:space="425" w:num="1"/>
          <w:docGrid w:type="lines" w:linePitch="312" w:charSpace="0"/>
        </w:sectPr>
      </w:pPr>
    </w:p>
    <w:bookmarkEnd w:id="5"/>
    <w:bookmarkEnd w:id="6"/>
    <w:bookmarkEnd w:id="7"/>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三、投标人的资格证明材料</w:t>
      </w:r>
    </w:p>
    <w:p>
      <w:pPr>
        <w:spacing w:line="480" w:lineRule="exact"/>
        <w:jc w:val="center"/>
        <w:rPr>
          <w:rFonts w:hint="eastAsia" w:ascii="黑体" w:hAnsi="黑体" w:eastAsia="黑体"/>
          <w:b w:val="0"/>
          <w:bCs w:val="0"/>
          <w:sz w:val="30"/>
          <w:szCs w:val="30"/>
        </w:rPr>
      </w:pPr>
      <w:r>
        <w:rPr>
          <w:rFonts w:hint="eastAsia" w:ascii="黑体" w:hAnsi="黑体" w:eastAsia="黑体" w:cs="宋体"/>
          <w:b w:val="0"/>
          <w:bCs w:val="0"/>
          <w:sz w:val="30"/>
          <w:szCs w:val="30"/>
          <w:lang w:eastAsia="zh-CN"/>
        </w:rPr>
        <w:t>投标人</w:t>
      </w:r>
      <w:r>
        <w:rPr>
          <w:rFonts w:hint="eastAsia" w:ascii="黑体" w:hAnsi="黑体" w:eastAsia="黑体" w:cs="宋体"/>
          <w:b w:val="0"/>
          <w:bCs w:val="0"/>
          <w:sz w:val="30"/>
          <w:szCs w:val="30"/>
        </w:rPr>
        <w:t>基本情况表</w:t>
      </w:r>
    </w:p>
    <w:p>
      <w:pPr>
        <w:adjustRightInd w:val="0"/>
        <w:snapToGrid w:val="0"/>
        <w:spacing w:line="360" w:lineRule="auto"/>
        <w:rPr>
          <w:rFonts w:ascii="宋体" w:hAnsi="宋体"/>
          <w:sz w:val="24"/>
        </w:rPr>
      </w:pPr>
      <w:r>
        <w:rPr>
          <w:rFonts w:hint="eastAsia" w:ascii="宋体" w:hAnsi="宋体"/>
          <w:sz w:val="24"/>
        </w:rPr>
        <w:t>盖</w:t>
      </w:r>
      <w:r>
        <w:rPr>
          <w:rFonts w:hint="eastAsia" w:ascii="宋体" w:hAnsi="宋体"/>
          <w:sz w:val="24"/>
          <w:lang w:eastAsia="zh-CN"/>
        </w:rPr>
        <w:t>投标</w:t>
      </w:r>
      <w:r>
        <w:rPr>
          <w:rFonts w:hint="eastAsia" w:ascii="宋体" w:hAnsi="宋体"/>
          <w:sz w:val="24"/>
        </w:rPr>
        <w:t>单位</w:t>
      </w:r>
      <w:r>
        <w:rPr>
          <w:rFonts w:hint="eastAsia" w:ascii="宋体" w:hAnsi="宋体"/>
          <w:sz w:val="24"/>
          <w:lang w:eastAsia="zh-CN"/>
        </w:rPr>
        <w:t>公</w:t>
      </w:r>
      <w:r>
        <w:rPr>
          <w:rFonts w:hint="eastAsia" w:ascii="宋体" w:hAnsi="宋体"/>
          <w:sz w:val="24"/>
        </w:rPr>
        <w:t>章：</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66"/>
        <w:gridCol w:w="688"/>
        <w:gridCol w:w="1211"/>
        <w:gridCol w:w="469"/>
        <w:gridCol w:w="1177"/>
        <w:gridCol w:w="1339"/>
        <w:gridCol w:w="1577"/>
        <w:gridCol w:w="1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6"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lang w:eastAsia="zh-CN"/>
              </w:rPr>
              <w:t>投标人</w:t>
            </w:r>
            <w:r>
              <w:rPr>
                <w:rFonts w:ascii="宋体" w:hAnsi="宋体"/>
                <w:sz w:val="24"/>
              </w:rPr>
              <w:t>名称</w:t>
            </w:r>
          </w:p>
        </w:tc>
        <w:tc>
          <w:tcPr>
            <w:tcW w:w="4196" w:type="dxa"/>
            <w:gridSpan w:val="4"/>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577" w:type="dxa"/>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ascii="宋体" w:hAnsi="宋体"/>
                <w:sz w:val="24"/>
              </w:rPr>
              <w:t>法定代表人</w:t>
            </w:r>
          </w:p>
        </w:tc>
        <w:tc>
          <w:tcPr>
            <w:tcW w:w="1855" w:type="dxa"/>
            <w:tcBorders>
              <w:top w:val="double" w:color="auto" w:sz="4"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6"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委托代理</w:t>
            </w:r>
            <w:r>
              <w:rPr>
                <w:rFonts w:ascii="宋体" w:hAnsi="宋体"/>
                <w:sz w:val="24"/>
              </w:rPr>
              <w:t>人</w:t>
            </w:r>
          </w:p>
        </w:tc>
        <w:tc>
          <w:tcPr>
            <w:tcW w:w="4196" w:type="dxa"/>
            <w:gridSpan w:val="4"/>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5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ascii="宋体" w:hAnsi="宋体"/>
                <w:sz w:val="24"/>
              </w:rPr>
              <w:t>邮政编码</w:t>
            </w:r>
          </w:p>
        </w:tc>
        <w:tc>
          <w:tcPr>
            <w:tcW w:w="1855"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6"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hint="eastAsia" w:ascii="宋体" w:hAnsi="宋体"/>
                <w:sz w:val="24"/>
              </w:rPr>
            </w:pPr>
            <w:r>
              <w:rPr>
                <w:rFonts w:hint="eastAsia" w:ascii="宋体" w:hAnsi="宋体"/>
                <w:sz w:val="24"/>
              </w:rPr>
              <w:t>上年营业收入</w:t>
            </w:r>
          </w:p>
        </w:tc>
        <w:tc>
          <w:tcPr>
            <w:tcW w:w="4196" w:type="dxa"/>
            <w:gridSpan w:val="4"/>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5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sz w:val="24"/>
              </w:rPr>
            </w:pPr>
            <w:r>
              <w:rPr>
                <w:rFonts w:hint="eastAsia" w:ascii="宋体" w:hAnsi="宋体"/>
                <w:sz w:val="24"/>
              </w:rPr>
              <w:t>电子邮箱</w:t>
            </w:r>
          </w:p>
        </w:tc>
        <w:tc>
          <w:tcPr>
            <w:tcW w:w="1855"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6"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hint="eastAsia" w:ascii="宋体" w:hAnsi="宋体"/>
                <w:sz w:val="24"/>
              </w:rPr>
            </w:pPr>
            <w:r>
              <w:rPr>
                <w:rFonts w:hint="eastAsia" w:ascii="宋体" w:hAnsi="宋体"/>
                <w:sz w:val="24"/>
              </w:rPr>
              <w:t>员工总人数</w:t>
            </w:r>
          </w:p>
        </w:tc>
        <w:tc>
          <w:tcPr>
            <w:tcW w:w="4196" w:type="dxa"/>
            <w:gridSpan w:val="4"/>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sz w:val="24"/>
              </w:rPr>
            </w:pPr>
          </w:p>
        </w:tc>
        <w:tc>
          <w:tcPr>
            <w:tcW w:w="15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sz w:val="24"/>
              </w:rPr>
            </w:pPr>
          </w:p>
        </w:tc>
        <w:tc>
          <w:tcPr>
            <w:tcW w:w="1855"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2"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营业执照</w:t>
            </w:r>
          </w:p>
        </w:tc>
        <w:tc>
          <w:tcPr>
            <w:tcW w:w="2165"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注册号码</w:t>
            </w:r>
          </w:p>
        </w:tc>
        <w:tc>
          <w:tcPr>
            <w:tcW w:w="1646"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20" w:firstLineChars="50"/>
              <w:jc w:val="center"/>
              <w:rPr>
                <w:rFonts w:ascii="宋体" w:hAnsi="宋体"/>
                <w:sz w:val="24"/>
              </w:rPr>
            </w:pPr>
            <w:r>
              <w:rPr>
                <w:rFonts w:hint="eastAsia" w:ascii="宋体" w:hAnsi="宋体"/>
                <w:sz w:val="24"/>
              </w:rPr>
              <w:t>注册地址</w:t>
            </w: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2"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2165"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发证机关</w:t>
            </w:r>
          </w:p>
        </w:tc>
        <w:tc>
          <w:tcPr>
            <w:tcW w:w="1646"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20" w:firstLineChars="50"/>
              <w:jc w:val="center"/>
              <w:rPr>
                <w:rFonts w:ascii="宋体" w:hAnsi="宋体"/>
                <w:sz w:val="24"/>
              </w:rPr>
            </w:pPr>
            <w:r>
              <w:rPr>
                <w:rFonts w:hint="eastAsia" w:ascii="宋体" w:hAnsi="宋体"/>
                <w:sz w:val="24"/>
              </w:rPr>
              <w:t>发证日期</w:t>
            </w: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2"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2165"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营业范围（主营）</w:t>
            </w:r>
          </w:p>
        </w:tc>
        <w:tc>
          <w:tcPr>
            <w:tcW w:w="6417" w:type="dxa"/>
            <w:gridSpan w:val="5"/>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2"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2165"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营业范围（兼营）</w:t>
            </w:r>
          </w:p>
        </w:tc>
        <w:tc>
          <w:tcPr>
            <w:tcW w:w="6417" w:type="dxa"/>
            <w:gridSpan w:val="5"/>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27"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基本账户开户行及账号</w:t>
            </w:r>
          </w:p>
        </w:tc>
        <w:tc>
          <w:tcPr>
            <w:tcW w:w="6417" w:type="dxa"/>
            <w:gridSpan w:val="5"/>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27"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税务登记机关</w:t>
            </w:r>
          </w:p>
        </w:tc>
        <w:tc>
          <w:tcPr>
            <w:tcW w:w="6417" w:type="dxa"/>
            <w:gridSpan w:val="5"/>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396"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ascii="宋体" w:hAnsi="宋体"/>
                <w:sz w:val="24"/>
              </w:rPr>
              <w:t>资质</w:t>
            </w:r>
            <w:r>
              <w:rPr>
                <w:rFonts w:hint="eastAsia" w:ascii="宋体" w:hAnsi="宋体"/>
                <w:sz w:val="24"/>
              </w:rPr>
              <w:t>名称</w:t>
            </w:r>
          </w:p>
        </w:tc>
        <w:tc>
          <w:tcPr>
            <w:tcW w:w="11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ascii="宋体" w:hAnsi="宋体"/>
                <w:sz w:val="24"/>
              </w:rPr>
              <w:t>等级</w:t>
            </w: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r>
              <w:rPr>
                <w:rFonts w:hint="eastAsia" w:ascii="宋体" w:hAnsi="宋体"/>
                <w:sz w:val="24"/>
              </w:rPr>
              <w:t>发证机关</w:t>
            </w: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396"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1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396"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1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396"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177"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133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sz w:val="24"/>
              </w:rPr>
            </w:pPr>
          </w:p>
        </w:tc>
        <w:tc>
          <w:tcPr>
            <w:tcW w:w="3432"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1028"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rFonts w:ascii="宋体" w:hAnsi="宋体"/>
                <w:sz w:val="24"/>
              </w:rPr>
            </w:pPr>
            <w:r>
              <w:rPr>
                <w:rFonts w:ascii="宋体" w:hAnsi="宋体"/>
                <w:sz w:val="24"/>
              </w:rPr>
              <w:t>备注</w:t>
            </w:r>
          </w:p>
        </w:tc>
        <w:tc>
          <w:tcPr>
            <w:tcW w:w="8316" w:type="dxa"/>
            <w:gridSpan w:val="7"/>
            <w:tcBorders>
              <w:top w:val="single" w:color="auto" w:sz="6" w:space="0"/>
              <w:left w:val="single" w:color="auto" w:sz="6" w:space="0"/>
              <w:bottom w:val="double" w:color="auto" w:sz="4" w:space="0"/>
              <w:right w:val="double" w:color="auto" w:sz="4" w:space="0"/>
            </w:tcBorders>
            <w:noWrap w:val="0"/>
            <w:vAlign w:val="center"/>
          </w:tcPr>
          <w:p>
            <w:pPr>
              <w:topLinePunct/>
              <w:spacing w:line="440" w:lineRule="exact"/>
              <w:rPr>
                <w:rFonts w:hint="eastAsia" w:ascii="宋体" w:hAnsi="宋体" w:cs="宋体"/>
                <w:sz w:val="24"/>
                <w:lang w:eastAsia="zh-CN"/>
              </w:rPr>
            </w:pPr>
            <w:r>
              <w:rPr>
                <w:rFonts w:hint="eastAsia" w:ascii="宋体" w:hAnsi="宋体" w:cs="宋体"/>
                <w:sz w:val="24"/>
                <w:lang w:eastAsia="zh-CN"/>
              </w:rPr>
              <w:t>附：</w:t>
            </w:r>
            <w:r>
              <w:rPr>
                <w:rFonts w:hint="eastAsia" w:ascii="宋体" w:hAnsi="宋体" w:cs="宋体"/>
                <w:sz w:val="24"/>
                <w:lang w:val="en-US" w:eastAsia="zh-CN"/>
              </w:rPr>
              <w:t>1、</w:t>
            </w:r>
            <w:r>
              <w:rPr>
                <w:rFonts w:hint="eastAsia" w:ascii="宋体" w:hAnsi="宋体" w:cs="宋体"/>
                <w:sz w:val="24"/>
                <w:lang w:eastAsia="zh-CN"/>
              </w:rPr>
              <w:t>《营业执照》复印件</w:t>
            </w:r>
          </w:p>
          <w:p>
            <w:pPr>
              <w:topLinePunct/>
              <w:spacing w:line="44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b w:val="0"/>
                <w:bCs w:val="0"/>
                <w:color w:val="auto"/>
                <w:sz w:val="24"/>
                <w:szCs w:val="24"/>
                <w:highlight w:val="none"/>
                <w:lang w:val="en-US" w:eastAsia="zh-CN"/>
              </w:rPr>
              <w:t>投标人未被未被列入“信用中国”网站（www.creditchina.gov.cn）列入失信被执行人名单的查询结果截图</w:t>
            </w:r>
            <w:r>
              <w:rPr>
                <w:rFonts w:hint="eastAsia" w:ascii="宋体" w:hAnsi="宋体" w:cs="宋体"/>
                <w:sz w:val="24"/>
                <w:lang w:eastAsia="zh-CN"/>
              </w:rPr>
              <w:t>。</w:t>
            </w:r>
          </w:p>
        </w:tc>
      </w:tr>
    </w:tbl>
    <w:p>
      <w:pPr>
        <w:pStyle w:val="31"/>
        <w:keepNext w:val="0"/>
        <w:keepLines w:val="0"/>
        <w:pageBreakBefore w:val="0"/>
        <w:numPr>
          <w:ilvl w:val="0"/>
          <w:numId w:val="0"/>
        </w:numPr>
        <w:kinsoku/>
        <w:wordWrap/>
        <w:overflowPunct/>
        <w:topLinePunct w:val="0"/>
        <w:autoSpaceDE/>
        <w:autoSpaceDN/>
        <w:bidi w:val="0"/>
        <w:spacing w:line="520" w:lineRule="exact"/>
        <w:jc w:val="both"/>
        <w:textAlignment w:val="auto"/>
        <w:rPr>
          <w:rFonts w:hint="eastAsia" w:ascii="黑体" w:hAnsi="黑体" w:eastAsia="黑体" w:cs="黑体"/>
          <w:b w:val="0"/>
          <w:bCs w:val="0"/>
          <w:color w:val="auto"/>
          <w:sz w:val="32"/>
          <w:szCs w:val="32"/>
          <w:highlight w:val="none"/>
          <w:lang w:val="en-US" w:eastAsia="zh-CN"/>
        </w:r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四、投标承诺书</w:t>
      </w:r>
      <w:bookmarkEnd w:id="2"/>
      <w:bookmarkEnd w:id="3"/>
      <w:bookmarkEnd w:id="4"/>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2" w:firstLineChars="200"/>
        <w:textAlignment w:val="auto"/>
        <w:rPr>
          <w:rFonts w:hint="eastAsia" w:ascii="宋体" w:hAnsi="宋体" w:eastAsia="宋体" w:cs="宋体"/>
          <w:b/>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lang w:eastAsia="zh-CN"/>
        </w:rPr>
        <w:t>浏阳市浏发矿业发展</w:t>
      </w:r>
      <w:r>
        <w:rPr>
          <w:rFonts w:hint="eastAsia" w:ascii="宋体" w:hAnsi="宋体" w:eastAsia="宋体" w:cs="宋体"/>
          <w:sz w:val="24"/>
          <w:szCs w:val="24"/>
        </w:rPr>
        <w:t>有限公司</w:t>
      </w:r>
      <w:r>
        <w:rPr>
          <w:rFonts w:hint="eastAsia" w:ascii="宋体" w:hAnsi="宋体" w:eastAsia="宋体" w:cs="宋体"/>
          <w:kern w:val="0"/>
          <w:sz w:val="24"/>
          <w:szCs w:val="24"/>
        </w:rPr>
        <w:t>：</w:t>
      </w:r>
    </w:p>
    <w:p>
      <w:pPr>
        <w:keepNext w:val="0"/>
        <w:keepLines w:val="0"/>
        <w:pageBreakBefore w:val="0"/>
        <w:widowControl w:val="0"/>
        <w:tabs>
          <w:tab w:val="left" w:pos="547"/>
        </w:tabs>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关于贵方招标文件，我们作为投标人已熟知并愿意参加投标，如我方中标，对质量、交货期和服务等作如下承诺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1.我们将严格按照招标文件的要求及技术标准，保证我们所提供的服务与招标文件要求的完全一致。</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2.我们将严格按照与需方合同规定</w:t>
      </w:r>
      <w:r>
        <w:rPr>
          <w:rFonts w:hint="eastAsia" w:ascii="宋体" w:hAnsi="宋体" w:cs="宋体"/>
          <w:kern w:val="0"/>
          <w:sz w:val="24"/>
          <w:szCs w:val="24"/>
          <w:lang w:eastAsia="zh-CN"/>
        </w:rPr>
        <w:t>，</w:t>
      </w:r>
      <w:r>
        <w:rPr>
          <w:rFonts w:hint="eastAsia" w:ascii="宋体" w:hAnsi="宋体" w:eastAsia="宋体" w:cs="宋体"/>
          <w:kern w:val="0"/>
          <w:sz w:val="24"/>
          <w:szCs w:val="24"/>
        </w:rPr>
        <w:t>按质、按量、按时确保提供的服务的质量，并承诺如因我方运输原因造成招标单位的损失，我方承担由此所造成的一切经济责任。</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3.我们将严格按照合同的规定做好售前、售中、售后服务，保证24小时的联系畅通(联系人：</w:t>
      </w:r>
      <w:r>
        <w:rPr>
          <w:rFonts w:hint="eastAsia" w:ascii="宋体" w:hAnsi="宋体" w:eastAsia="宋体" w:cs="宋体"/>
          <w:kern w:val="0"/>
          <w:sz w:val="24"/>
          <w:szCs w:val="24"/>
          <w:u w:val="single"/>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联系电话：</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cs="宋体"/>
          <w:kern w:val="0"/>
          <w:sz w:val="24"/>
          <w:szCs w:val="24"/>
          <w:lang w:eastAsia="zh-CN"/>
        </w:rPr>
        <w:t>，</w:t>
      </w:r>
      <w:r>
        <w:rPr>
          <w:rFonts w:hint="eastAsia" w:ascii="宋体" w:hAnsi="宋体" w:eastAsia="宋体" w:cs="宋体"/>
          <w:kern w:val="0"/>
          <w:sz w:val="24"/>
          <w:szCs w:val="24"/>
        </w:rPr>
        <w:t>对用户提出的问题或要求保证在24小时内给予答复。</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此致</w:t>
      </w:r>
    </w:p>
    <w:p>
      <w:pPr>
        <w:keepNext w:val="0"/>
        <w:keepLines w:val="0"/>
        <w:pageBreakBefore w:val="0"/>
        <w:framePr w:w="115" w:wrap="around" w:vAnchor="margin" w:hAnchor="margin" w:x="10441" w:y="9102"/>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val="0"/>
        <w:kinsoku/>
        <w:wordWrap/>
        <w:overflowPunct/>
        <w:topLinePunct w:val="0"/>
        <w:autoSpaceDE w:val="0"/>
        <w:autoSpaceDN w:val="0"/>
        <w:bidi w:val="0"/>
        <w:adjustRightInd w:val="0"/>
        <w:snapToGrid/>
        <w:spacing w:line="440" w:lineRule="exact"/>
        <w:ind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敬礼</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rPr>
          <w:rFonts w:hint="eastAsia"/>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投标单位名称</w:t>
      </w:r>
      <w:r>
        <w:rPr>
          <w:rFonts w:hint="eastAsia" w:ascii="宋体" w:hAnsi="宋体" w:cs="宋体"/>
          <w:kern w:val="0"/>
          <w:sz w:val="24"/>
          <w:szCs w:val="24"/>
          <w:lang w:eastAsia="zh-CN"/>
        </w:rPr>
        <w:t>（</w:t>
      </w:r>
      <w:r>
        <w:rPr>
          <w:rFonts w:hint="eastAsia" w:ascii="宋体" w:hAnsi="宋体" w:eastAsia="宋体" w:cs="宋体"/>
          <w:kern w:val="0"/>
          <w:sz w:val="24"/>
          <w:szCs w:val="24"/>
        </w:rPr>
        <w:t>加盖公章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default" w:ascii="宋体" w:hAnsi="宋体" w:cs="宋体"/>
          <w:kern w:val="0"/>
          <w:sz w:val="24"/>
          <w:szCs w:val="24"/>
          <w:u w:val="single"/>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法定代表人或</w:t>
      </w:r>
      <w:r>
        <w:rPr>
          <w:rFonts w:hint="eastAsia" w:ascii="宋体" w:hAnsi="宋体" w:cs="宋体"/>
          <w:kern w:val="0"/>
          <w:sz w:val="24"/>
          <w:szCs w:val="24"/>
          <w:lang w:eastAsia="zh-CN"/>
        </w:rPr>
        <w:t>委托代理</w:t>
      </w:r>
      <w:r>
        <w:rPr>
          <w:rFonts w:hint="eastAsia" w:ascii="宋体" w:hAnsi="宋体" w:eastAsia="宋体" w:cs="宋体"/>
          <w:kern w:val="0"/>
          <w:sz w:val="24"/>
          <w:szCs w:val="24"/>
        </w:rPr>
        <w:t>人签字</w:t>
      </w:r>
      <w:r>
        <w:rPr>
          <w:rFonts w:hint="eastAsia" w:ascii="宋体" w:hAnsi="宋体" w:cs="宋体"/>
          <w:kern w:val="0"/>
          <w:sz w:val="24"/>
          <w:szCs w:val="24"/>
          <w:lang w:eastAsia="zh-CN"/>
        </w:rPr>
        <w:t>：</w:t>
      </w:r>
      <w:r>
        <w:rPr>
          <w:rFonts w:hint="eastAsia" w:ascii="宋体" w:hAnsi="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2022</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spacing w:line="480" w:lineRule="exact"/>
        <w:jc w:val="center"/>
        <w:rPr>
          <w:rFonts w:ascii="仿宋_GB2312" w:hAnsi="宋体" w:eastAsia="仿宋_GB2312"/>
          <w:sz w:val="24"/>
        </w:rPr>
      </w:pPr>
    </w:p>
    <w:p>
      <w:pPr>
        <w:rPr>
          <w:rFonts w:hint="eastAsia" w:ascii="仿宋" w:hAnsi="仿宋" w:eastAsia="仿宋" w:cs="仿宋"/>
          <w:b/>
          <w:sz w:val="32"/>
          <w:szCs w:val="32"/>
        </w:rPr>
      </w:pPr>
      <w:bookmarkStart w:id="8" w:name="_Toc69927256"/>
      <w:bookmarkStart w:id="9" w:name="_Toc358540503"/>
      <w:bookmarkStart w:id="10" w:name="_Toc69552307"/>
      <w:r>
        <w:rPr>
          <w:rFonts w:hint="eastAsia" w:ascii="仿宋" w:hAnsi="仿宋" w:eastAsia="仿宋" w:cs="仿宋"/>
          <w:b/>
          <w:sz w:val="32"/>
          <w:szCs w:val="32"/>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bookmarkStart w:id="11" w:name="_Toc159040890"/>
      <w:bookmarkStart w:id="12" w:name="_Toc98580427"/>
      <w:r>
        <w:rPr>
          <w:rFonts w:hint="eastAsia" w:ascii="黑体" w:hAnsi="黑体" w:eastAsia="黑体" w:cs="黑体"/>
          <w:b w:val="0"/>
          <w:bCs w:val="0"/>
          <w:color w:val="auto"/>
          <w:sz w:val="32"/>
          <w:szCs w:val="32"/>
          <w:highlight w:val="none"/>
          <w:lang w:val="en-US" w:eastAsia="zh-CN"/>
        </w:rPr>
        <w:t>五、投标廉洁承诺函</w:t>
      </w:r>
    </w:p>
    <w:p>
      <w:pPr>
        <w:keepNext w:val="0"/>
        <w:keepLines w:val="0"/>
        <w:pageBreakBefore w:val="0"/>
        <w:widowControl w:val="0"/>
        <w:kinsoku/>
        <w:wordWrap/>
        <w:overflowPunct/>
        <w:topLinePunct w:val="0"/>
        <w:autoSpaceDE w:val="0"/>
        <w:autoSpaceDN w:val="0"/>
        <w:bidi w:val="0"/>
        <w:adjustRightInd w:val="0"/>
        <w:snapToGrid/>
        <w:spacing w:line="440" w:lineRule="exact"/>
        <w:ind w:right="0"/>
        <w:jc w:val="left"/>
        <w:textAlignment w:val="auto"/>
        <w:rPr>
          <w:rFonts w:hint="eastAsia" w:ascii="宋体" w:hAnsi="宋体" w:eastAsia="宋体" w:cs="宋体"/>
          <w:kern w:val="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浏阳市浏发矿业发展</w:t>
      </w:r>
      <w:r>
        <w:rPr>
          <w:rFonts w:hint="eastAsia" w:ascii="宋体" w:hAnsi="宋体" w:eastAsia="宋体" w:cs="宋体"/>
          <w:kern w:val="0"/>
          <w:sz w:val="24"/>
          <w:szCs w:val="24"/>
        </w:rPr>
        <w:t xml:space="preserve">有限公司： </w:t>
      </w:r>
    </w:p>
    <w:bookmarkEnd w:id="11"/>
    <w:bookmarkEnd w:id="12"/>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为加强招投标活动中的廉政建设，进一步规范招投标行为，体现公平、公正、公开和诚实守信的招标原则，根据国家有关法律、法规和廉政建设相关规定，我公司（投标企业）郑重做出以下承诺，并与我公司提交的标书文件中声明一并负法律责任。</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我公司投标工作人员不以任何方式向贵公司及招标代理机构、招标工作人员及相关人员就评标人员、定标内容等事宜进行沟通，了解招投标中的商业机密。不对外透露与本次投标有关的相关信息，保守招标企业的商业秘密。</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我公司投标工作人员在投标过程中以及中标后的合同执行过程中，不向贵公司及招标代理机构招标工作人员行贿、提供回扣或其他好处费等；不向贵公司及招标代理机构招标工作人员馈赠有价证券和贵重物品；不给贵公司及招标代理机构招标工作人员报销任何费用；不为贵公司及招标代理机构招标工作人员购置或长期无偿提供交通工具、通讯工具、家电、办公用品等；不邀请贵公司及招标代理机构的招标工作人员参加对执行公务有影响的娱乐活动和宴请；不接受贵公司及招标代理机构招标工作人员介绍的家属或亲友从事与该项目有关的材料、设备供应和该项目分包等经济活动；不为贵公司及招标代理机构招标工作人员装修房子，不为贵公司及招标代理机构招标工作人员的亲属、朋友等安排工作、安排出境和出国旅游等；不借婚丧嫁娶之机向贵公司及招标代理机构招标工作人员赠送钱、物等。</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三、不通过权力部门或有关领导向监管机构及工作人员打招呼、写条子、说情，干预正常的招投标监管工作。</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四、不搞相互串通虚假围标和串标行为，不搞恶性低价投标。</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五、评审结果在未正式公开前，不以任何形式向有关单位或个人打听定标结果。</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六、遵守回避原则，不发生关联交易，我司法人代表、实际控制人或管理人员不能与招标组织方人员、招标企业领导干部或关键岗位人员有亲人、亲属或特定人关系。</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七、我公司如发现贵公司及招标代理机构招标工作人员有违反廉政行为，承诺在48小时内署名报告贵公司及招标代理机构的纪检监察人员或有关领导。</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八、如我公司违反廉政责任，经调查属实，贵公司有权拒绝我公司投标，有权取消对我公司的中标决定或终止合同执行，由此造成的经济损失由我公司承担。</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九、本承诺书在本次招投标及合同授予、履行的过程中保持有效，并作为合同的附件。</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十、廉洁自律承诺书一式叁份，业务组织方、业务主体企业和承诺人（企业）各留存一份。</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投标人（</w:t>
      </w:r>
      <w:r>
        <w:rPr>
          <w:rFonts w:hint="eastAsia" w:ascii="宋体" w:hAnsi="宋体" w:eastAsia="宋体" w:cs="宋体"/>
          <w:kern w:val="0"/>
          <w:sz w:val="24"/>
          <w:szCs w:val="24"/>
          <w:lang w:eastAsia="zh-CN"/>
        </w:rPr>
        <w:t>公</w:t>
      </w:r>
      <w:r>
        <w:rPr>
          <w:rFonts w:hint="eastAsia" w:ascii="宋体" w:hAnsi="宋体" w:eastAsia="宋体" w:cs="宋体"/>
          <w:kern w:val="0"/>
          <w:sz w:val="24"/>
          <w:szCs w:val="24"/>
        </w:rPr>
        <w:t>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default" w:ascii="宋体" w:hAnsi="宋体" w:eastAsia="宋体" w:cs="宋体"/>
          <w:kern w:val="0"/>
          <w:sz w:val="24"/>
          <w:szCs w:val="24"/>
          <w:u w:val="single"/>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法定代表人或</w:t>
      </w:r>
      <w:r>
        <w:rPr>
          <w:rFonts w:hint="eastAsia" w:ascii="宋体" w:hAnsi="宋体" w:eastAsia="宋体" w:cs="宋体"/>
          <w:kern w:val="0"/>
          <w:sz w:val="24"/>
          <w:szCs w:val="24"/>
          <w:lang w:eastAsia="zh-CN"/>
        </w:rPr>
        <w:t>委托</w:t>
      </w:r>
      <w:r>
        <w:rPr>
          <w:rFonts w:hint="eastAsia" w:ascii="宋体" w:hAnsi="宋体" w:eastAsia="宋体" w:cs="宋体"/>
          <w:kern w:val="0"/>
          <w:sz w:val="24"/>
          <w:szCs w:val="24"/>
        </w:rPr>
        <w:t>代理人(签字)：</w:t>
      </w:r>
      <w:r>
        <w:rPr>
          <w:rFonts w:hint="eastAsia" w:ascii="宋体" w:hAnsi="宋体" w:eastAsia="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日期：</w:t>
      </w:r>
      <w:r>
        <w:rPr>
          <w:rFonts w:hint="eastAsia" w:ascii="宋体" w:hAnsi="宋体" w:eastAsia="宋体" w:cs="宋体"/>
          <w:kern w:val="0"/>
          <w:sz w:val="24"/>
          <w:szCs w:val="24"/>
          <w:lang w:val="en-US" w:eastAsia="zh-CN"/>
        </w:rPr>
        <w:t>2022</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bookmarkEnd w:id="8"/>
      <w:bookmarkEnd w:id="9"/>
      <w:bookmarkEnd w:id="10"/>
      <w:r>
        <w:rPr>
          <w:rFonts w:hint="eastAsia" w:ascii="宋体" w:hAnsi="宋体" w:eastAsia="宋体" w:cs="宋体"/>
          <w:kern w:val="0"/>
          <w:sz w:val="24"/>
          <w:szCs w:val="24"/>
          <w:lang w:val="en-US" w:eastAsia="zh-CN"/>
        </w:rPr>
        <w:t>日</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default" w:ascii="宋体" w:hAnsi="宋体" w:eastAsia="宋体" w:cs="宋体"/>
          <w:kern w:val="0"/>
          <w:sz w:val="24"/>
          <w:szCs w:val="24"/>
          <w:lang w:val="en-US" w:eastAsia="zh-CN"/>
        </w:rPr>
      </w:pPr>
    </w:p>
    <w:p>
      <w:pPr>
        <w:pStyle w:val="8"/>
        <w:rPr>
          <w:rFonts w:hint="default"/>
          <w:lang w:val="en-US" w:eastAsia="zh-CN"/>
        </w:rPr>
        <w:sectPr>
          <w:footerReference r:id="rId4" w:type="default"/>
          <w:pgSz w:w="11906" w:h="16838"/>
          <w:pgMar w:top="1531" w:right="1304" w:bottom="1417" w:left="1474" w:header="851" w:footer="992" w:gutter="0"/>
          <w:pgNumType w:fmt="decimal"/>
          <w:cols w:space="425" w:num="1"/>
          <w:docGrid w:type="lines" w:linePitch="312" w:charSpace="0"/>
        </w:sectPr>
      </w:pP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bookmarkStart w:id="13" w:name="_Toc358540506"/>
      <w:bookmarkStart w:id="14" w:name="_Toc69927253"/>
      <w:r>
        <w:rPr>
          <w:rFonts w:hint="eastAsia" w:ascii="黑体" w:hAnsi="黑体" w:eastAsia="黑体" w:cs="黑体"/>
          <w:b w:val="0"/>
          <w:bCs w:val="0"/>
          <w:color w:val="auto"/>
          <w:sz w:val="32"/>
          <w:szCs w:val="32"/>
          <w:highlight w:val="none"/>
          <w:lang w:val="en-US" w:eastAsia="zh-CN"/>
        </w:rPr>
        <w:t>六、招标文件要求投标人提交的其他文件</w:t>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31"/>
        <w:keepNext w:val="0"/>
        <w:keepLines w:val="0"/>
        <w:pageBreakBefore w:val="0"/>
        <w:numPr>
          <w:ilvl w:val="0"/>
          <w:numId w:val="0"/>
        </w:numPr>
        <w:kinsoku/>
        <w:wordWrap/>
        <w:overflowPunct/>
        <w:topLinePunct w:val="0"/>
        <w:autoSpaceDE/>
        <w:autoSpaceDN/>
        <w:bidi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第四章  </w:t>
      </w:r>
      <w:bookmarkStart w:id="15" w:name="_Toc69552304"/>
      <w:r>
        <w:rPr>
          <w:rFonts w:hint="eastAsia" w:ascii="黑体" w:hAnsi="黑体" w:eastAsia="黑体" w:cs="黑体"/>
          <w:b w:val="0"/>
          <w:bCs w:val="0"/>
          <w:color w:val="auto"/>
          <w:sz w:val="32"/>
          <w:szCs w:val="32"/>
          <w:highlight w:val="none"/>
          <w:lang w:val="en-US" w:eastAsia="zh-CN"/>
        </w:rPr>
        <w:t>合同条款</w:t>
      </w:r>
      <w:bookmarkEnd w:id="13"/>
      <w:bookmarkEnd w:id="14"/>
      <w:bookmarkEnd w:id="15"/>
      <w:bookmarkStart w:id="16" w:name="_Toc43520997"/>
      <w:bookmarkStart w:id="17" w:name="_Toc43521257"/>
      <w:bookmarkStart w:id="18" w:name="_Toc43520910"/>
      <w:r>
        <w:rPr>
          <w:rFonts w:hint="eastAsia" w:ascii="黑体" w:hAnsi="黑体" w:eastAsia="黑体" w:cs="黑体"/>
          <w:b w:val="0"/>
          <w:bCs w:val="0"/>
          <w:color w:val="auto"/>
          <w:sz w:val="32"/>
          <w:szCs w:val="32"/>
          <w:highlight w:val="none"/>
          <w:lang w:val="en-US" w:eastAsia="zh-CN"/>
        </w:rPr>
        <w:t>（格式）</w:t>
      </w:r>
    </w:p>
    <w:p>
      <w:pPr>
        <w:numPr>
          <w:ilvl w:val="0"/>
          <w:numId w:val="0"/>
        </w:numPr>
        <w:rPr>
          <w:rFonts w:hint="eastAsia"/>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合同</w:t>
      </w:r>
      <w:r>
        <w:rPr>
          <w:rFonts w:hint="eastAsia" w:ascii="宋体" w:hAnsi="宋体" w:eastAsia="宋体" w:cs="宋体"/>
          <w:color w:val="000000"/>
          <w:sz w:val="24"/>
          <w:szCs w:val="24"/>
          <w:lang w:val="en-US" w:eastAsia="zh-CN"/>
        </w:rPr>
        <w:t>编号：</w:t>
      </w:r>
    </w:p>
    <w:bookmarkEnd w:id="16"/>
    <w:bookmarkEnd w:id="17"/>
    <w:bookmarkEnd w:id="18"/>
    <w:p>
      <w:pPr>
        <w:keepNext w:val="0"/>
        <w:keepLines w:val="0"/>
        <w:pageBreakBefore w:val="0"/>
        <w:widowControl w:val="0"/>
        <w:kinsoku/>
        <w:wordWrap/>
        <w:overflowPunct/>
        <w:topLinePunct w:val="0"/>
        <w:autoSpaceDE w:val="0"/>
        <w:autoSpaceDN w:val="0"/>
        <w:bidi w:val="0"/>
        <w:adjustRightInd w:val="0"/>
        <w:snapToGrid/>
        <w:spacing w:line="440" w:lineRule="exact"/>
        <w:ind w:lef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val="en-US" w:eastAsia="zh-CN"/>
        </w:rPr>
        <w:t xml:space="preserve">                                </w:t>
      </w:r>
    </w:p>
    <w:p>
      <w:pPr>
        <w:keepNext w:val="0"/>
        <w:keepLines w:val="0"/>
        <w:pageBreakBefore w:val="0"/>
        <w:widowControl w:val="0"/>
        <w:kinsoku/>
        <w:wordWrap/>
        <w:overflowPunct/>
        <w:topLinePunct w:val="0"/>
        <w:bidi w:val="0"/>
        <w:snapToGrid/>
        <w:spacing w:line="440" w:lineRule="exact"/>
        <w:ind w:lef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                                      </w:t>
      </w:r>
    </w:p>
    <w:p>
      <w:pPr>
        <w:keepNext w:val="0"/>
        <w:keepLines w:val="0"/>
        <w:pageBreakBefore w:val="0"/>
        <w:widowControl w:val="0"/>
        <w:kinsoku/>
        <w:wordWrap/>
        <w:overflowPunct/>
        <w:topLinePunct w:val="0"/>
        <w:bidi w:val="0"/>
        <w:snapToGrid/>
        <w:spacing w:line="440" w:lineRule="exact"/>
        <w:ind w:lef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签订地点：                                </w:t>
      </w:r>
    </w:p>
    <w:p>
      <w:pPr>
        <w:keepNext w:val="0"/>
        <w:keepLines w:val="0"/>
        <w:pageBreakBefore w:val="0"/>
        <w:widowControl w:val="0"/>
        <w:kinsoku/>
        <w:wordWrap/>
        <w:overflowPunct/>
        <w:topLinePunct w:val="0"/>
        <w:bidi w:val="0"/>
        <w:snapToGrid/>
        <w:spacing w:line="440" w:lineRule="exact"/>
        <w:ind w:lef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r>
        <w:rPr>
          <w:rFonts w:hint="eastAsia" w:ascii="宋体" w:hAnsi="宋体" w:cs="宋体"/>
          <w:color w:val="000000"/>
          <w:sz w:val="24"/>
          <w:szCs w:val="24"/>
          <w:lang w:val="en-US" w:eastAsia="zh-CN"/>
        </w:rPr>
        <w:t>2022</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bidi w:val="0"/>
        <w:spacing w:line="440" w:lineRule="exact"/>
        <w:ind w:left="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》，遵循平等、自愿、公平和诚信的原则，双方经友好协商，同意按下述条款和条件签订本合同（以下简称“合同”）。</w:t>
      </w:r>
    </w:p>
    <w:p>
      <w:pPr>
        <w:pStyle w:val="31"/>
        <w:keepNext w:val="0"/>
        <w:keepLines w:val="0"/>
        <w:pageBreakBefore w:val="0"/>
        <w:widowControl w:val="0"/>
        <w:numPr>
          <w:numId w:val="0"/>
        </w:numPr>
        <w:kinsoku/>
        <w:wordWrap/>
        <w:overflowPunct/>
        <w:topLinePunct w:val="0"/>
        <w:bidi w:val="0"/>
        <w:adjustRightInd w:val="0"/>
        <w:snapToGrid w:val="0"/>
        <w:spacing w:line="440" w:lineRule="exact"/>
        <w:ind w:left="0" w:leftChars="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材料名称、产地、交货时间、数量及价格</w:t>
      </w:r>
    </w:p>
    <w:tbl>
      <w:tblPr>
        <w:tblStyle w:val="19"/>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249"/>
        <w:gridCol w:w="1404"/>
        <w:gridCol w:w="1361"/>
        <w:gridCol w:w="1453"/>
        <w:gridCol w:w="1625"/>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62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品名</w:t>
            </w:r>
          </w:p>
        </w:tc>
        <w:tc>
          <w:tcPr>
            <w:tcW w:w="66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75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源地</w:t>
            </w:r>
          </w:p>
        </w:tc>
        <w:tc>
          <w:tcPr>
            <w:tcW w:w="7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标的地</w:t>
            </w:r>
          </w:p>
        </w:tc>
        <w:tc>
          <w:tcPr>
            <w:tcW w:w="7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采购数量（吨</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每月</w:t>
            </w:r>
            <w:r>
              <w:rPr>
                <w:rFonts w:hint="eastAsia" w:ascii="宋体" w:hAnsi="宋体" w:eastAsia="宋体" w:cs="宋体"/>
                <w:sz w:val="24"/>
                <w:szCs w:val="24"/>
              </w:rPr>
              <w:t>）</w:t>
            </w:r>
          </w:p>
        </w:tc>
        <w:tc>
          <w:tcPr>
            <w:tcW w:w="87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含税采购单价（元/吨）</w:t>
            </w:r>
          </w:p>
        </w:tc>
        <w:tc>
          <w:tcPr>
            <w:tcW w:w="57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624" w:type="pct"/>
            <w:vAlign w:val="center"/>
          </w:tcPr>
          <w:p>
            <w:pPr>
              <w:spacing w:line="500" w:lineRule="exact"/>
              <w:jc w:val="center"/>
              <w:rPr>
                <w:rFonts w:hint="eastAsia" w:ascii="宋体" w:hAnsi="宋体" w:eastAsia="宋体" w:cs="宋体"/>
                <w:sz w:val="24"/>
                <w:szCs w:val="24"/>
              </w:rPr>
            </w:pPr>
          </w:p>
        </w:tc>
        <w:tc>
          <w:tcPr>
            <w:tcW w:w="669" w:type="pct"/>
            <w:vAlign w:val="center"/>
          </w:tcPr>
          <w:p>
            <w:pPr>
              <w:spacing w:line="500" w:lineRule="exact"/>
              <w:ind w:firstLine="240" w:firstLineChars="100"/>
              <w:jc w:val="center"/>
              <w:rPr>
                <w:rFonts w:hint="eastAsia" w:ascii="宋体" w:hAnsi="宋体" w:eastAsia="宋体" w:cs="宋体"/>
                <w:sz w:val="24"/>
                <w:szCs w:val="24"/>
              </w:rPr>
            </w:pPr>
          </w:p>
        </w:tc>
        <w:tc>
          <w:tcPr>
            <w:tcW w:w="752" w:type="pct"/>
            <w:vAlign w:val="center"/>
          </w:tcPr>
          <w:p>
            <w:pPr>
              <w:spacing w:line="500" w:lineRule="exact"/>
              <w:ind w:firstLine="240" w:firstLineChars="100"/>
              <w:jc w:val="center"/>
              <w:rPr>
                <w:rFonts w:hint="eastAsia" w:ascii="宋体" w:hAnsi="宋体" w:eastAsia="宋体" w:cs="宋体"/>
                <w:sz w:val="24"/>
                <w:szCs w:val="24"/>
              </w:rPr>
            </w:pPr>
          </w:p>
        </w:tc>
        <w:tc>
          <w:tcPr>
            <w:tcW w:w="729" w:type="pct"/>
            <w:vAlign w:val="center"/>
          </w:tcPr>
          <w:p>
            <w:pPr>
              <w:spacing w:line="500" w:lineRule="exact"/>
              <w:jc w:val="center"/>
              <w:rPr>
                <w:rFonts w:hint="eastAsia" w:ascii="宋体" w:hAnsi="宋体" w:eastAsia="宋体" w:cs="宋体"/>
                <w:sz w:val="24"/>
                <w:szCs w:val="24"/>
              </w:rPr>
            </w:pPr>
          </w:p>
        </w:tc>
        <w:tc>
          <w:tcPr>
            <w:tcW w:w="778" w:type="pct"/>
            <w:vAlign w:val="center"/>
          </w:tcPr>
          <w:p>
            <w:pPr>
              <w:spacing w:line="500" w:lineRule="exact"/>
              <w:jc w:val="center"/>
              <w:rPr>
                <w:rFonts w:hint="eastAsia" w:ascii="宋体" w:hAnsi="宋体" w:eastAsia="宋体" w:cs="宋体"/>
                <w:sz w:val="24"/>
                <w:szCs w:val="24"/>
              </w:rPr>
            </w:pPr>
          </w:p>
        </w:tc>
        <w:tc>
          <w:tcPr>
            <w:tcW w:w="870" w:type="pct"/>
            <w:vAlign w:val="center"/>
          </w:tcPr>
          <w:p>
            <w:pPr>
              <w:spacing w:line="500" w:lineRule="exact"/>
              <w:jc w:val="center"/>
              <w:rPr>
                <w:rFonts w:hint="eastAsia" w:ascii="宋体" w:hAnsi="宋体" w:eastAsia="宋体" w:cs="宋体"/>
                <w:sz w:val="24"/>
                <w:szCs w:val="24"/>
              </w:rPr>
            </w:pPr>
          </w:p>
        </w:tc>
        <w:tc>
          <w:tcPr>
            <w:tcW w:w="574" w:type="pct"/>
            <w:vAlign w:val="center"/>
          </w:tcPr>
          <w:p>
            <w:pPr>
              <w:spacing w:line="5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24" w:type="pct"/>
            <w:vAlign w:val="center"/>
          </w:tcPr>
          <w:p>
            <w:pPr>
              <w:spacing w:line="500" w:lineRule="exact"/>
              <w:jc w:val="center"/>
              <w:rPr>
                <w:rFonts w:hint="eastAsia" w:ascii="宋体" w:hAnsi="宋体" w:eastAsia="宋体" w:cs="宋体"/>
                <w:sz w:val="24"/>
                <w:szCs w:val="24"/>
              </w:rPr>
            </w:pPr>
          </w:p>
        </w:tc>
        <w:tc>
          <w:tcPr>
            <w:tcW w:w="669" w:type="pct"/>
            <w:vAlign w:val="center"/>
          </w:tcPr>
          <w:p>
            <w:pPr>
              <w:spacing w:line="500" w:lineRule="exact"/>
              <w:ind w:firstLine="240" w:firstLineChars="100"/>
              <w:jc w:val="center"/>
              <w:rPr>
                <w:rFonts w:hint="eastAsia" w:ascii="宋体" w:hAnsi="宋体" w:eastAsia="宋体" w:cs="宋体"/>
                <w:sz w:val="24"/>
                <w:szCs w:val="24"/>
              </w:rPr>
            </w:pPr>
          </w:p>
        </w:tc>
        <w:tc>
          <w:tcPr>
            <w:tcW w:w="752" w:type="pct"/>
            <w:vAlign w:val="center"/>
          </w:tcPr>
          <w:p>
            <w:pPr>
              <w:spacing w:line="500" w:lineRule="exact"/>
              <w:ind w:firstLine="240" w:firstLineChars="100"/>
              <w:jc w:val="center"/>
              <w:rPr>
                <w:rFonts w:hint="eastAsia" w:ascii="宋体" w:hAnsi="宋体" w:eastAsia="宋体" w:cs="宋体"/>
                <w:sz w:val="24"/>
                <w:szCs w:val="24"/>
              </w:rPr>
            </w:pPr>
          </w:p>
        </w:tc>
        <w:tc>
          <w:tcPr>
            <w:tcW w:w="729" w:type="pct"/>
            <w:vAlign w:val="center"/>
          </w:tcPr>
          <w:p>
            <w:pPr>
              <w:spacing w:line="500" w:lineRule="exact"/>
              <w:jc w:val="center"/>
              <w:rPr>
                <w:rFonts w:hint="eastAsia" w:ascii="宋体" w:hAnsi="宋体" w:eastAsia="宋体" w:cs="宋体"/>
                <w:sz w:val="24"/>
                <w:szCs w:val="24"/>
              </w:rPr>
            </w:pPr>
          </w:p>
        </w:tc>
        <w:tc>
          <w:tcPr>
            <w:tcW w:w="778" w:type="pct"/>
            <w:vAlign w:val="center"/>
          </w:tcPr>
          <w:p>
            <w:pPr>
              <w:spacing w:line="500" w:lineRule="exact"/>
              <w:jc w:val="center"/>
              <w:rPr>
                <w:rFonts w:hint="eastAsia" w:ascii="宋体" w:hAnsi="宋体" w:eastAsia="宋体" w:cs="宋体"/>
                <w:sz w:val="24"/>
                <w:szCs w:val="24"/>
              </w:rPr>
            </w:pPr>
          </w:p>
        </w:tc>
        <w:tc>
          <w:tcPr>
            <w:tcW w:w="870" w:type="pct"/>
            <w:vAlign w:val="center"/>
          </w:tcPr>
          <w:p>
            <w:pPr>
              <w:spacing w:line="500" w:lineRule="exact"/>
              <w:jc w:val="center"/>
              <w:rPr>
                <w:rFonts w:hint="eastAsia" w:ascii="宋体" w:hAnsi="宋体" w:eastAsia="宋体" w:cs="宋体"/>
                <w:sz w:val="24"/>
                <w:szCs w:val="24"/>
              </w:rPr>
            </w:pPr>
          </w:p>
        </w:tc>
        <w:tc>
          <w:tcPr>
            <w:tcW w:w="574" w:type="pct"/>
            <w:vAlign w:val="center"/>
          </w:tcPr>
          <w:p>
            <w:pPr>
              <w:spacing w:line="5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5000" w:type="pct"/>
            <w:gridSpan w:val="7"/>
          </w:tcPr>
          <w:p>
            <w:pPr>
              <w:spacing w:line="240" w:lineRule="exact"/>
              <w:ind w:firstLine="840" w:firstLineChars="350"/>
              <w:rPr>
                <w:rFonts w:hint="eastAsia" w:ascii="宋体" w:hAnsi="宋体" w:eastAsia="宋体" w:cs="宋体"/>
                <w:sz w:val="24"/>
                <w:szCs w:val="24"/>
              </w:rPr>
            </w:pPr>
          </w:p>
          <w:p>
            <w:pPr>
              <w:pStyle w:val="51"/>
              <w:widowControl/>
              <w:numPr>
                <w:numId w:val="0"/>
              </w:numPr>
              <w:shd w:val="clear" w:color="auto" w:fill="FFFFFF"/>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说明：以上含税采购单价到达甲方检验合格后并卸载到指定场地的每吨总价，包括出厂价、</w:t>
            </w:r>
            <w:r>
              <w:rPr>
                <w:rFonts w:hint="eastAsia" w:ascii="宋体" w:hAnsi="宋体" w:eastAsia="宋体" w:cs="宋体"/>
                <w:sz w:val="24"/>
                <w:szCs w:val="24"/>
                <w:lang w:val="en-US" w:eastAsia="zh-CN"/>
              </w:rPr>
              <w:t>运费、税费、利润</w:t>
            </w:r>
            <w:r>
              <w:rPr>
                <w:rFonts w:hint="eastAsia" w:ascii="宋体" w:hAnsi="宋体" w:eastAsia="宋体" w:cs="宋体"/>
                <w:sz w:val="24"/>
                <w:szCs w:val="24"/>
              </w:rPr>
              <w:t>。该价格在合同</w:t>
            </w:r>
            <w:r>
              <w:rPr>
                <w:rFonts w:hint="eastAsia" w:ascii="宋体" w:hAnsi="宋体" w:cs="宋体"/>
                <w:sz w:val="24"/>
                <w:szCs w:val="24"/>
                <w:lang w:eastAsia="zh-CN"/>
              </w:rPr>
              <w:t>签订后一个月内不随市场行情波动，后续的合同</w:t>
            </w:r>
            <w:r>
              <w:rPr>
                <w:rFonts w:hint="eastAsia" w:ascii="宋体" w:hAnsi="宋体" w:eastAsia="宋体" w:cs="宋体"/>
                <w:sz w:val="24"/>
                <w:szCs w:val="24"/>
              </w:rPr>
              <w:t>执行过程中允许随市场行情波动，甲乙双方协商调价，最终价格以需方调价函为准</w:t>
            </w:r>
            <w:r>
              <w:rPr>
                <w:rFonts w:hint="eastAsia" w:ascii="宋体" w:hAnsi="宋体" w:eastAsia="宋体" w:cs="宋体"/>
                <w:sz w:val="24"/>
                <w:szCs w:val="24"/>
                <w:lang w:eastAsia="zh-CN"/>
              </w:rPr>
              <w:t>。</w:t>
            </w:r>
          </w:p>
        </w:tc>
      </w:tr>
    </w:tbl>
    <w:p>
      <w:pPr>
        <w:pStyle w:val="51"/>
        <w:keepNext w:val="0"/>
        <w:keepLines w:val="0"/>
        <w:pageBreakBefore w:val="0"/>
        <w:widowControl/>
        <w:numPr>
          <w:numId w:val="0"/>
        </w:numPr>
        <w:shd w:val="clear" w:color="auto" w:fill="FFFFFF"/>
        <w:kinsoku/>
        <w:wordWrap/>
        <w:overflowPunct/>
        <w:topLinePunct w:val="0"/>
        <w:autoSpaceDE/>
        <w:autoSpaceDN/>
        <w:bidi w:val="0"/>
        <w:spacing w:line="440" w:lineRule="exact"/>
        <w:ind w:left="426" w:leftChars="0"/>
        <w:jc w:val="left"/>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二、</w:t>
      </w:r>
      <w:r>
        <w:rPr>
          <w:rFonts w:hint="eastAsia" w:ascii="宋体" w:hAnsi="宋体" w:eastAsia="宋体" w:cs="宋体"/>
          <w:b/>
          <w:color w:val="000000"/>
          <w:kern w:val="0"/>
          <w:sz w:val="24"/>
          <w:szCs w:val="24"/>
        </w:rPr>
        <w:t>质量与计量</w:t>
      </w:r>
    </w:p>
    <w:p>
      <w:pPr>
        <w:keepNext w:val="0"/>
        <w:keepLines w:val="0"/>
        <w:pageBreakBefore w:val="0"/>
        <w:tabs>
          <w:tab w:val="left" w:pos="6660"/>
        </w:tabs>
        <w:kinsoku/>
        <w:wordWrap/>
        <w:overflowPunct/>
        <w:topLinePunct w:val="0"/>
        <w:autoSpaceDE/>
        <w:autoSpaceDN/>
        <w:bidi w:val="0"/>
        <w:adjustRightInd w:val="0"/>
        <w:snapToGrid w:val="0"/>
        <w:spacing w:line="440" w:lineRule="exact"/>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1.乙方向甲方提供的</w:t>
      </w:r>
      <w:r>
        <w:rPr>
          <w:rFonts w:hint="eastAsia" w:ascii="宋体" w:hAnsi="宋体" w:eastAsia="宋体" w:cs="宋体"/>
          <w:color w:val="000000"/>
          <w:kern w:val="0"/>
          <w:sz w:val="24"/>
          <w:szCs w:val="24"/>
          <w:lang w:eastAsia="zh-CN"/>
        </w:rPr>
        <w:t>砂石</w:t>
      </w:r>
      <w:r>
        <w:rPr>
          <w:rFonts w:hint="eastAsia" w:ascii="宋体" w:hAnsi="宋体" w:eastAsia="宋体" w:cs="宋体"/>
          <w:color w:val="000000"/>
          <w:kern w:val="0"/>
          <w:sz w:val="24"/>
          <w:szCs w:val="24"/>
        </w:rPr>
        <w:t>质量按本合同第四条</w:t>
      </w:r>
      <w:r>
        <w:rPr>
          <w:rFonts w:hint="eastAsia" w:ascii="宋体" w:hAnsi="宋体" w:eastAsia="宋体" w:cs="宋体"/>
          <w:color w:val="000000"/>
          <w:sz w:val="24"/>
          <w:szCs w:val="24"/>
        </w:rPr>
        <w:t>验收标准</w:t>
      </w:r>
      <w:r>
        <w:rPr>
          <w:rFonts w:hint="eastAsia" w:ascii="宋体" w:hAnsi="宋体" w:eastAsia="宋体" w:cs="宋体"/>
          <w:color w:val="000000"/>
          <w:kern w:val="0"/>
          <w:sz w:val="24"/>
          <w:szCs w:val="24"/>
        </w:rPr>
        <w:t>执行，并结合甲方现场验收合格后方可收货</w:t>
      </w:r>
      <w:r>
        <w:rPr>
          <w:rFonts w:hint="eastAsia" w:ascii="宋体" w:hAnsi="宋体" w:eastAsia="宋体" w:cs="宋体"/>
          <w:color w:val="000000" w:themeColor="text1"/>
          <w:sz w:val="24"/>
          <w:szCs w:val="24"/>
          <w14:textFill>
            <w14:solidFill>
              <w14:schemeClr w14:val="tx1"/>
            </w14:solidFill>
          </w14:textFill>
        </w:rPr>
        <w:t>。</w:t>
      </w:r>
    </w:p>
    <w:p>
      <w:pPr>
        <w:pStyle w:val="51"/>
        <w:keepNext w:val="0"/>
        <w:keepLines w:val="0"/>
        <w:pageBreakBefore w:val="0"/>
        <w:widowControl/>
        <w:shd w:val="clear" w:color="auto" w:fill="FFFFFF"/>
        <w:kinsoku/>
        <w:wordWrap/>
        <w:overflowPunct/>
        <w:topLinePunct w:val="0"/>
        <w:autoSpaceDE/>
        <w:autoSpaceDN/>
        <w:bidi w:val="0"/>
        <w:spacing w:line="440" w:lineRule="exact"/>
        <w:ind w:firstLine="600" w:firstLineChars="2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如对质量检验有异议，乙方在接到甲方通知24小时内赶到甲方指定现场，凭甲方留样或共同在堆场取样送至市级质检部门进行复检。检验结果合格的，检验费用由甲方承担；检验结果不合格的，检验费用由乙方承担。</w:t>
      </w:r>
    </w:p>
    <w:p>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3. 以</w:t>
      </w:r>
      <w:r>
        <w:rPr>
          <w:rFonts w:hint="eastAsia" w:ascii="宋体" w:hAnsi="宋体" w:eastAsia="宋体" w:cs="宋体"/>
          <w:color w:val="000000"/>
          <w:kern w:val="0"/>
          <w:sz w:val="24"/>
          <w:szCs w:val="24"/>
          <w:lang w:eastAsia="zh-CN"/>
        </w:rPr>
        <w:t>送货站点</w:t>
      </w:r>
      <w:r>
        <w:rPr>
          <w:rFonts w:hint="eastAsia" w:ascii="宋体" w:hAnsi="宋体" w:eastAsia="宋体" w:cs="宋体"/>
          <w:color w:val="000000"/>
          <w:kern w:val="0"/>
          <w:sz w:val="24"/>
          <w:szCs w:val="24"/>
        </w:rPr>
        <w:t>现场过磅验收签收数量为计量依据</w:t>
      </w:r>
      <w:r>
        <w:rPr>
          <w:rFonts w:hint="eastAsia" w:ascii="宋体" w:hAnsi="宋体" w:eastAsia="宋体" w:cs="宋体"/>
          <w:color w:val="000000"/>
          <w:kern w:val="0"/>
          <w:sz w:val="24"/>
          <w:szCs w:val="24"/>
          <w:lang w:eastAsia="zh-CN"/>
        </w:rPr>
        <w:t>。</w:t>
      </w:r>
    </w:p>
    <w:p>
      <w:pPr>
        <w:pStyle w:val="51"/>
        <w:keepNext w:val="0"/>
        <w:keepLines w:val="0"/>
        <w:pageBreakBefore w:val="0"/>
        <w:widowControl/>
        <w:shd w:val="clear" w:color="auto" w:fill="FFFFFF"/>
        <w:kinsoku/>
        <w:wordWrap/>
        <w:overflowPunct/>
        <w:topLinePunct w:val="0"/>
        <w:autoSpaceDE/>
        <w:autoSpaceDN/>
        <w:bidi w:val="0"/>
        <w:spacing w:line="440" w:lineRule="exact"/>
        <w:ind w:firstLine="361" w:firstLineChars="150"/>
        <w:jc w:val="left"/>
        <w:textAlignment w:val="auto"/>
        <w:rPr>
          <w:rFonts w:hint="eastAsia" w:ascii="宋体" w:hAnsi="宋体" w:eastAsia="宋体" w:cs="宋体"/>
          <w:b/>
          <w:sz w:val="24"/>
          <w:szCs w:val="24"/>
        </w:rPr>
      </w:pPr>
      <w:r>
        <w:rPr>
          <w:rFonts w:hint="eastAsia" w:ascii="宋体" w:hAnsi="宋体" w:eastAsia="宋体" w:cs="宋体"/>
          <w:b/>
          <w:sz w:val="24"/>
          <w:szCs w:val="24"/>
        </w:rPr>
        <w:t>三、交货方式、时间、地点</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1．交货地点：甲方指定地点。</w:t>
      </w:r>
    </w:p>
    <w:p>
      <w:pPr>
        <w:pStyle w:val="51"/>
        <w:keepNext w:val="0"/>
        <w:keepLines w:val="0"/>
        <w:pageBreakBefore w:val="0"/>
        <w:widowControl/>
        <w:shd w:val="clear" w:color="auto" w:fill="FFFFFF"/>
        <w:kinsoku/>
        <w:wordWrap/>
        <w:overflowPunct/>
        <w:topLinePunct w:val="0"/>
        <w:autoSpaceDE/>
        <w:autoSpaceDN/>
        <w:bidi w:val="0"/>
        <w:spacing w:line="440" w:lineRule="exact"/>
        <w:ind w:firstLine="56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rPr>
        <w:t>2．乙方要根据甲方计划按时、按质、按量供货。乙方应在甲方提交计划24小时之内将货物送达甲方指定地点。运费由乙方承担。</w:t>
      </w:r>
    </w:p>
    <w:p>
      <w:pPr>
        <w:keepNext w:val="0"/>
        <w:keepLines w:val="0"/>
        <w:pageBreakBefore w:val="0"/>
        <w:widowControl/>
        <w:shd w:val="clear" w:color="auto" w:fill="FFFFFF"/>
        <w:kinsoku/>
        <w:wordWrap/>
        <w:overflowPunct/>
        <w:topLinePunct w:val="0"/>
        <w:autoSpaceDE/>
        <w:autoSpaceDN/>
        <w:bidi w:val="0"/>
        <w:spacing w:line="440" w:lineRule="exact"/>
        <w:ind w:firstLine="472" w:firstLineChars="196"/>
        <w:jc w:val="left"/>
        <w:textAlignment w:val="auto"/>
        <w:rPr>
          <w:rFonts w:hint="eastAsia" w:ascii="宋体" w:hAnsi="宋体" w:eastAsia="宋体" w:cs="宋体"/>
          <w:sz w:val="24"/>
          <w:szCs w:val="24"/>
        </w:rPr>
      </w:pPr>
      <w:r>
        <w:rPr>
          <w:rFonts w:hint="eastAsia" w:ascii="宋体" w:hAnsi="宋体" w:eastAsia="宋体" w:cs="宋体"/>
          <w:b/>
          <w:color w:val="000000"/>
          <w:kern w:val="0"/>
          <w:sz w:val="24"/>
          <w:szCs w:val="24"/>
        </w:rPr>
        <w:t>四、验收标准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（一）碎石制砂：</w:t>
      </w:r>
      <w:r>
        <w:rPr>
          <w:rFonts w:hint="eastAsia" w:ascii="宋体" w:hAnsi="宋体" w:eastAsia="宋体" w:cs="宋体"/>
          <w:color w:val="000000" w:themeColor="text1"/>
          <w:sz w:val="24"/>
          <w:szCs w:val="24"/>
          <w:highlight w:val="none"/>
          <w:lang w:val="en-US" w:eastAsia="zh-CN"/>
          <w14:textFill>
            <w14:solidFill>
              <w14:schemeClr w14:val="tx1"/>
            </w14:solidFill>
          </w14:textFill>
        </w:rPr>
        <w:t>C50及以上等级</w:t>
      </w:r>
      <w:r>
        <w:rPr>
          <w:rFonts w:hint="eastAsia" w:ascii="宋体" w:hAnsi="宋体" w:eastAsia="宋体" w:cs="宋体"/>
          <w:color w:val="000000" w:themeColor="text1"/>
          <w:sz w:val="24"/>
          <w:szCs w:val="24"/>
          <w14:textFill>
            <w14:solidFill>
              <w14:schemeClr w14:val="tx1"/>
            </w14:solidFill>
          </w14:textFill>
        </w:rPr>
        <w:t>含水率控制≤</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%，超过部分扣除；石粉含量及泥块含量：MB≤</w:t>
      </w:r>
      <w:r>
        <w:rPr>
          <w:rFonts w:hint="eastAsia" w:ascii="宋体" w:hAnsi="宋体" w:eastAsia="宋体" w:cs="宋体"/>
          <w:color w:val="000000" w:themeColor="text1"/>
          <w:sz w:val="24"/>
          <w:szCs w:val="24"/>
          <w:lang w:val="en-US" w:eastAsia="zh-CN"/>
          <w14:textFill>
            <w14:solidFill>
              <w14:schemeClr w14:val="tx1"/>
            </w14:solidFill>
          </w14:textFill>
        </w:rPr>
        <w:t>0.5</w:t>
      </w:r>
      <w:r>
        <w:rPr>
          <w:rFonts w:hint="eastAsia" w:ascii="宋体" w:hAnsi="宋体" w:eastAsia="宋体" w:cs="宋体"/>
          <w:color w:val="000000" w:themeColor="text1"/>
          <w:sz w:val="24"/>
          <w:szCs w:val="24"/>
          <w14:textFill>
            <w14:solidFill>
              <w14:schemeClr w14:val="tx1"/>
            </w14:solidFill>
          </w14:textFill>
        </w:rPr>
        <w:t>或快速检测合格，石粉含量≤</w:t>
      </w:r>
      <w:r>
        <w:rPr>
          <w:rFonts w:hint="eastAsia" w:ascii="宋体" w:hAnsi="宋体" w:eastAsia="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细度模数</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2.3-3.1，压碎值</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有害物质：云母≤</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%，氯化物≤</w:t>
      </w:r>
      <w:r>
        <w:rPr>
          <w:rFonts w:hint="eastAsia" w:ascii="宋体" w:hAnsi="宋体" w:eastAsia="宋体" w:cs="宋体"/>
          <w:color w:val="000000" w:themeColor="text1"/>
          <w:sz w:val="24"/>
          <w:szCs w:val="24"/>
          <w:highlight w:val="none"/>
          <w:lang w:val="en-US" w:eastAsia="zh-CN"/>
          <w14:textFill>
            <w14:solidFill>
              <w14:schemeClr w14:val="tx1"/>
            </w14:solidFill>
          </w14:textFill>
        </w:rPr>
        <w:t>0.02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；低于C50及以上标准：</w:t>
      </w:r>
      <w:r>
        <w:rPr>
          <w:rFonts w:hint="eastAsia" w:ascii="宋体" w:hAnsi="宋体" w:eastAsia="宋体" w:cs="宋体"/>
          <w:color w:val="000000" w:themeColor="text1"/>
          <w:sz w:val="24"/>
          <w:szCs w:val="24"/>
          <w14:textFill>
            <w14:solidFill>
              <w14:schemeClr w14:val="tx1"/>
            </w14:solidFill>
          </w14:textFill>
        </w:rPr>
        <w:t>含水率控制≤</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%，超过部分扣除；石粉含量及泥块含量：MB≤</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或快速检测合格，石粉含量≤</w:t>
      </w:r>
      <w:r>
        <w:rPr>
          <w:rFonts w:hint="eastAsia" w:ascii="宋体" w:hAnsi="宋体" w:eastAsia="宋体" w:cs="宋体"/>
          <w:color w:val="000000" w:themeColor="text1"/>
          <w:sz w:val="24"/>
          <w:szCs w:val="24"/>
          <w:lang w:val="en-US" w:eastAsia="zh-CN"/>
          <w14:textFill>
            <w14:solidFill>
              <w14:schemeClr w14:val="tx1"/>
            </w14:solidFill>
          </w14:textFill>
        </w:rPr>
        <w:t>15.0</w:t>
      </w:r>
      <w:r>
        <w:rPr>
          <w:rFonts w:hint="eastAsia" w:ascii="宋体" w:hAnsi="宋体" w:eastAsia="宋体" w:cs="宋体"/>
          <w:color w:val="000000" w:themeColor="text1"/>
          <w:sz w:val="24"/>
          <w:szCs w:val="24"/>
          <w14:textFill>
            <w14:solidFill>
              <w14:schemeClr w14:val="tx1"/>
            </w14:solidFill>
          </w14:textFill>
        </w:rPr>
        <w:t>，泥块含量≤</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细度模数</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2.3，压碎值</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25%，在C50及以上基础上降级处理。</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（二）卵石制砂（水洗砂）</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0"/>
          <w:sz w:val="24"/>
          <w:szCs w:val="24"/>
          <w:lang w:eastAsia="zh-CN"/>
          <w14:textFill>
            <w14:solidFill>
              <w14:schemeClr w14:val="tx1"/>
            </w14:solidFill>
          </w14:textFill>
        </w:rPr>
        <w:t>卵石制</w:t>
      </w:r>
      <w:r>
        <w:rPr>
          <w:rFonts w:hint="eastAsia" w:ascii="宋体" w:hAnsi="宋体" w:eastAsia="宋体" w:cs="宋体"/>
          <w:color w:val="000000" w:themeColor="text1"/>
          <w:kern w:val="0"/>
          <w:sz w:val="24"/>
          <w:szCs w:val="24"/>
          <w14:textFill>
            <w14:solidFill>
              <w14:schemeClr w14:val="tx1"/>
            </w14:solidFill>
          </w14:textFill>
        </w:rPr>
        <w:t>砂验收指标：按Ⅱ类天然砂指标验收，现场验收主要指标为：含水率控制≤5%，超过部分扣除；含泥量≤3.0%；泥块含量≤1.0%；细度模数≥2.3；级配符合中粗砂标准。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碎石：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碎石</w:t>
      </w:r>
      <w:r>
        <w:rPr>
          <w:rFonts w:hint="eastAsia" w:ascii="宋体" w:hAnsi="宋体" w:eastAsia="宋体" w:cs="宋体"/>
          <w:color w:val="000000" w:themeColor="text1"/>
          <w:sz w:val="24"/>
          <w:szCs w:val="24"/>
          <w:highlight w:val="none"/>
          <w14:textFill>
            <w14:solidFill>
              <w14:schemeClr w14:val="tx1"/>
            </w14:solidFill>
          </w14:textFill>
        </w:rPr>
        <w:t>验收标准《建设用卵石、碎石》GB/T14685-2011。按Ⅱ类指标验收，现场验收主要指标为：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含水率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超过部分扣除，</w:t>
      </w:r>
      <w:r>
        <w:rPr>
          <w:rFonts w:hint="eastAsia" w:ascii="宋体" w:hAnsi="宋体" w:eastAsia="宋体" w:cs="宋体"/>
          <w:color w:val="000000" w:themeColor="text1"/>
          <w:sz w:val="24"/>
          <w:szCs w:val="24"/>
          <w:highlight w:val="none"/>
          <w14:textFill>
            <w14:solidFill>
              <w14:schemeClr w14:val="tx1"/>
            </w14:solidFill>
          </w14:textFill>
        </w:rPr>
        <w:t>含泥量≤</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%、泥块含量≤</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14:textFill>
            <w14:solidFill>
              <w14:schemeClr w14:val="tx1"/>
            </w14:solidFill>
          </w14:textFill>
        </w:rPr>
        <w:t>、针片状颗粒含量≤</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%；压碎指标≤</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连续级配松散堆积空隙率≤</w:t>
      </w: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%、吸水率≤</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%、颗粒级配（最大颗粒粒径≤</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mm）等。</w:t>
      </w:r>
    </w:p>
    <w:p>
      <w:pPr>
        <w:pStyle w:val="14"/>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四）卵石</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lang w:eastAsia="zh-CN"/>
          <w14:textFill>
            <w14:solidFill>
              <w14:schemeClr w14:val="tx1"/>
            </w14:solidFill>
          </w14:textFill>
        </w:rPr>
        <w:t>卵石</w:t>
      </w:r>
      <w:r>
        <w:rPr>
          <w:rFonts w:hint="eastAsia" w:ascii="宋体" w:hAnsi="宋体" w:eastAsia="宋体" w:cs="宋体"/>
          <w:color w:val="000000" w:themeColor="text1"/>
          <w:kern w:val="0"/>
          <w:sz w:val="24"/>
          <w:szCs w:val="24"/>
          <w14:textFill>
            <w14:solidFill>
              <w14:schemeClr w14:val="tx1"/>
            </w14:solidFill>
          </w14:textFill>
        </w:rPr>
        <w:t>按Ⅱ类指标验收，现场验收的主要指标为含泥量≤</w:t>
      </w:r>
      <w:r>
        <w:rPr>
          <w:rFonts w:hint="eastAsia" w:ascii="宋体" w:hAnsi="宋体" w:eastAsia="宋体" w:cs="宋体"/>
          <w:color w:val="000000"/>
          <w:kern w:val="0"/>
          <w:sz w:val="24"/>
          <w:szCs w:val="24"/>
        </w:rPr>
        <w:t>1.0%、泥块含量≤0.2%、针片状颗粒含量≤10%、压碎指标（</w:t>
      </w:r>
      <w:r>
        <w:rPr>
          <w:rFonts w:hint="eastAsia" w:ascii="宋体" w:hAnsi="宋体" w:eastAsia="宋体" w:cs="宋体"/>
          <w:color w:val="000000"/>
          <w:kern w:val="0"/>
          <w:sz w:val="24"/>
          <w:szCs w:val="24"/>
          <w:lang w:eastAsia="zh-CN"/>
        </w:rPr>
        <w:t>卵石</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%）、连续级配松散堆积空隙率≤45%、吸水率≤2.0%、颗粒级配（最大颗粒粒径≤</w:t>
      </w:r>
      <w:r>
        <w:rPr>
          <w:rFonts w:hint="eastAsia" w:ascii="宋体" w:hAnsi="宋体" w:eastAsia="宋体" w:cs="宋体"/>
          <w:color w:val="000000"/>
          <w:kern w:val="0"/>
          <w:sz w:val="24"/>
          <w:szCs w:val="24"/>
          <w:lang w:val="en-US" w:eastAsia="zh-CN"/>
        </w:rPr>
        <w:t>31.5</w:t>
      </w:r>
      <w:r>
        <w:rPr>
          <w:rFonts w:hint="eastAsia" w:ascii="宋体" w:hAnsi="宋体" w:eastAsia="宋体" w:cs="宋体"/>
          <w:color w:val="000000"/>
          <w:kern w:val="0"/>
          <w:sz w:val="24"/>
          <w:szCs w:val="24"/>
        </w:rPr>
        <w:t>mm）等。</w:t>
      </w:r>
    </w:p>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甲方收到货物后应先进行检测，如送货中</w:t>
      </w:r>
      <w:r>
        <w:rPr>
          <w:rFonts w:hint="eastAsia" w:ascii="宋体" w:hAnsi="宋体" w:eastAsia="宋体" w:cs="宋体"/>
          <w:color w:val="000000" w:themeColor="text1"/>
          <w:kern w:val="0"/>
          <w:sz w:val="24"/>
          <w:szCs w:val="24"/>
          <w:lang w:eastAsia="zh-CN"/>
          <w14:textFill>
            <w14:solidFill>
              <w14:schemeClr w14:val="tx1"/>
            </w14:solidFill>
          </w14:textFill>
        </w:rPr>
        <w:t>质量部</w:t>
      </w:r>
      <w:r>
        <w:rPr>
          <w:rFonts w:hint="eastAsia" w:ascii="宋体" w:hAnsi="宋体" w:eastAsia="宋体" w:cs="宋体"/>
          <w:color w:val="000000" w:themeColor="text1"/>
          <w:kern w:val="0"/>
          <w:sz w:val="24"/>
          <w:szCs w:val="24"/>
          <w14:textFill>
            <w14:solidFill>
              <w14:schemeClr w14:val="tx1"/>
            </w14:solidFill>
          </w14:textFill>
        </w:rPr>
        <w:t>抽查发现有质量问题，甲方应在收到货物时即时通知乙方解决,经双方确认</w:t>
      </w:r>
      <w:r>
        <w:rPr>
          <w:rFonts w:hint="eastAsia" w:ascii="宋体" w:hAnsi="宋体" w:eastAsia="宋体" w:cs="宋体"/>
          <w:color w:val="000000" w:themeColor="text1"/>
          <w:kern w:val="0"/>
          <w:sz w:val="24"/>
          <w:szCs w:val="24"/>
          <w:lang w:eastAsia="zh-CN"/>
          <w14:textFill>
            <w14:solidFill>
              <w14:schemeClr w14:val="tx1"/>
            </w14:solidFill>
          </w14:textFill>
        </w:rPr>
        <w:t>砂石</w:t>
      </w:r>
      <w:r>
        <w:rPr>
          <w:rFonts w:hint="eastAsia" w:ascii="宋体" w:hAnsi="宋体" w:eastAsia="宋体" w:cs="宋体"/>
          <w:color w:val="000000" w:themeColor="text1"/>
          <w:kern w:val="0"/>
          <w:sz w:val="24"/>
          <w:szCs w:val="24"/>
          <w14:textFill>
            <w14:solidFill>
              <w14:schemeClr w14:val="tx1"/>
            </w14:solidFill>
          </w14:textFill>
        </w:rPr>
        <w:t>质量确实不合格后，乙方应将质量不合格的</w:t>
      </w:r>
      <w:r>
        <w:rPr>
          <w:rFonts w:hint="eastAsia" w:ascii="宋体" w:hAnsi="宋体" w:eastAsia="宋体" w:cs="宋体"/>
          <w:color w:val="000000" w:themeColor="text1"/>
          <w:kern w:val="0"/>
          <w:sz w:val="24"/>
          <w:szCs w:val="24"/>
          <w:lang w:eastAsia="zh-CN"/>
          <w14:textFill>
            <w14:solidFill>
              <w14:schemeClr w14:val="tx1"/>
            </w14:solidFill>
          </w14:textFill>
        </w:rPr>
        <w:t>砂石</w:t>
      </w:r>
      <w:r>
        <w:rPr>
          <w:rFonts w:hint="eastAsia" w:ascii="宋体" w:hAnsi="宋体" w:eastAsia="宋体" w:cs="宋体"/>
          <w:color w:val="000000" w:themeColor="text1"/>
          <w:kern w:val="0"/>
          <w:sz w:val="24"/>
          <w:szCs w:val="24"/>
          <w14:textFill>
            <w14:solidFill>
              <w14:schemeClr w14:val="tx1"/>
            </w14:solidFill>
          </w14:textFill>
        </w:rPr>
        <w:t>运回，并承担运回所发生的运费，同时乙方在当日内换送合格的</w:t>
      </w:r>
      <w:r>
        <w:rPr>
          <w:rFonts w:hint="eastAsia" w:ascii="宋体" w:hAnsi="宋体" w:eastAsia="宋体" w:cs="宋体"/>
          <w:color w:val="000000" w:themeColor="text1"/>
          <w:kern w:val="0"/>
          <w:sz w:val="24"/>
          <w:szCs w:val="24"/>
          <w:lang w:eastAsia="zh-CN"/>
          <w14:textFill>
            <w14:solidFill>
              <w14:schemeClr w14:val="tx1"/>
            </w14:solidFill>
          </w14:textFill>
        </w:rPr>
        <w:t>砂石</w:t>
      </w:r>
      <w:r>
        <w:rPr>
          <w:rFonts w:hint="eastAsia" w:ascii="宋体" w:hAnsi="宋体" w:eastAsia="宋体" w:cs="宋体"/>
          <w:color w:val="000000" w:themeColor="text1"/>
          <w:kern w:val="0"/>
          <w:sz w:val="24"/>
          <w:szCs w:val="24"/>
          <w:lang w:val="en-US" w:eastAsia="zh-CN"/>
          <w14:textFill>
            <w14:solidFill>
              <w14:schemeClr w14:val="tx1"/>
            </w14:solidFill>
          </w14:textFill>
        </w:rPr>
        <w:t>；如在后期使用过程经第三方检测机构鉴定存在因原材料造成的质量问题，甲方通知乙方后，乙方应在2天内安排人员协商解决，若确因原材料原因产生的质量纠纷，乙方应承担质量问题造成的全部损失。</w:t>
      </w:r>
    </w:p>
    <w:p>
      <w:pPr>
        <w:keepNext w:val="0"/>
        <w:keepLines w:val="0"/>
        <w:pageBreakBefore w:val="0"/>
        <w:tabs>
          <w:tab w:val="left" w:pos="360"/>
          <w:tab w:val="left" w:pos="840"/>
        </w:tabs>
        <w:kinsoku/>
        <w:wordWrap/>
        <w:overflowPunct/>
        <w:topLinePunct w:val="0"/>
        <w:autoSpaceDE/>
        <w:autoSpaceDN/>
        <w:bidi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（三）质量考核</w:t>
      </w:r>
    </w:p>
    <w:p>
      <w:pPr>
        <w:keepNext w:val="0"/>
        <w:keepLines w:val="0"/>
        <w:pageBreakBefore w:val="0"/>
        <w:kinsoku/>
        <w:wordWrap/>
        <w:overflowPunct/>
        <w:topLinePunct w:val="0"/>
        <w:autoSpaceDE/>
        <w:autoSpaceDN/>
        <w:bidi w:val="0"/>
        <w:spacing w:line="440" w:lineRule="exact"/>
        <w:ind w:firstLine="360" w:firstLineChars="150"/>
        <w:textAlignment w:val="auto"/>
        <w:rPr>
          <w:rFonts w:hint="eastAsia" w:ascii="宋体" w:hAnsi="宋体" w:eastAsia="宋体" w:cs="宋体"/>
          <w:color w:val="000000"/>
          <w:sz w:val="24"/>
          <w:szCs w:val="24"/>
        </w:rPr>
      </w:pPr>
      <w:r>
        <w:rPr>
          <w:rFonts w:hint="eastAsia" w:ascii="宋体" w:hAnsi="宋体" w:eastAsia="宋体" w:cs="宋体"/>
          <w:sz w:val="24"/>
          <w:szCs w:val="24"/>
        </w:rPr>
        <w:t>质量考核依据《南方新材料原材料质量考核管理办法（试行）》进行。</w:t>
      </w:r>
    </w:p>
    <w:p>
      <w:pPr>
        <w:pStyle w:val="51"/>
        <w:keepNext w:val="0"/>
        <w:keepLines w:val="0"/>
        <w:pageBreakBefore w:val="0"/>
        <w:kinsoku/>
        <w:wordWrap/>
        <w:overflowPunct/>
        <w:topLinePunct w:val="0"/>
        <w:autoSpaceDE/>
        <w:autoSpaceDN/>
        <w:bidi w:val="0"/>
        <w:spacing w:line="440" w:lineRule="exact"/>
        <w:ind w:left="-710" w:leftChars="-338" w:firstLine="1067" w:firstLineChars="443"/>
        <w:textAlignment w:val="auto"/>
        <w:rPr>
          <w:rFonts w:hint="eastAsia" w:ascii="宋体" w:hAnsi="宋体" w:eastAsia="宋体" w:cs="宋体"/>
          <w:b/>
          <w:sz w:val="24"/>
          <w:szCs w:val="24"/>
        </w:rPr>
      </w:pPr>
      <w:r>
        <w:rPr>
          <w:rFonts w:hint="eastAsia" w:ascii="宋体" w:hAnsi="宋体" w:eastAsia="宋体" w:cs="宋体"/>
          <w:b/>
          <w:sz w:val="24"/>
          <w:szCs w:val="24"/>
        </w:rPr>
        <w:t>五、结算和付款</w:t>
      </w:r>
    </w:p>
    <w:p>
      <w:pPr>
        <w:keepNext w:val="0"/>
        <w:keepLines w:val="0"/>
        <w:pageBreakBefore w:val="0"/>
        <w:kinsoku/>
        <w:wordWrap/>
        <w:overflowPunct/>
        <w:topLinePunct w:val="0"/>
        <w:autoSpaceDE/>
        <w:autoSpaceDN/>
        <w:bidi w:val="0"/>
        <w:spacing w:line="440" w:lineRule="exact"/>
        <w:ind w:firstLine="464" w:firstLineChars="200"/>
        <w:textAlignment w:val="auto"/>
        <w:rPr>
          <w:rFonts w:hint="eastAsia" w:ascii="宋体" w:hAnsi="宋体" w:eastAsia="宋体" w:cs="宋体"/>
          <w:bCs/>
          <w:spacing w:val="-4"/>
          <w:sz w:val="24"/>
          <w:szCs w:val="24"/>
        </w:rPr>
      </w:pPr>
      <w:r>
        <w:rPr>
          <w:rFonts w:hint="eastAsia" w:ascii="宋体" w:hAnsi="宋体" w:eastAsia="宋体" w:cs="宋体"/>
          <w:bCs/>
          <w:spacing w:val="-4"/>
          <w:sz w:val="24"/>
          <w:szCs w:val="24"/>
        </w:rPr>
        <w:t>1</w:t>
      </w:r>
      <w:r>
        <w:rPr>
          <w:rFonts w:hint="eastAsia" w:ascii="宋体" w:hAnsi="宋体" w:eastAsia="宋体" w:cs="宋体"/>
          <w:bCs/>
          <w:spacing w:val="-4"/>
          <w:sz w:val="24"/>
          <w:szCs w:val="24"/>
          <w:lang w:val="en-US" w:eastAsia="zh-CN"/>
        </w:rPr>
        <w:t>.</w:t>
      </w:r>
      <w:r>
        <w:rPr>
          <w:rFonts w:hint="eastAsia" w:ascii="宋体" w:hAnsi="宋体" w:eastAsia="宋体" w:cs="宋体"/>
          <w:bCs/>
          <w:spacing w:val="-4"/>
          <w:sz w:val="24"/>
          <w:szCs w:val="24"/>
        </w:rPr>
        <w:t>办理结算时，应以产品通过验收，且符合本合同付款要求和一切有关法律要求为前提。</w:t>
      </w:r>
    </w:p>
    <w:p>
      <w:pPr>
        <w:pStyle w:val="51"/>
        <w:keepNext w:val="0"/>
        <w:keepLines w:val="0"/>
        <w:pageBreakBefore w:val="0"/>
        <w:kinsoku/>
        <w:wordWrap/>
        <w:overflowPunct/>
        <w:topLinePunct w:val="0"/>
        <w:autoSpaceDE/>
        <w:autoSpaceDN/>
        <w:bidi w:val="0"/>
        <w:spacing w:line="440" w:lineRule="exact"/>
        <w:ind w:firstLine="544"/>
        <w:textAlignment w:val="auto"/>
        <w:rPr>
          <w:rFonts w:hint="eastAsia" w:ascii="宋体" w:hAnsi="宋体" w:eastAsia="宋体" w:cs="宋体"/>
          <w:b/>
          <w:bCs/>
          <w:color w:val="FF0000"/>
          <w:spacing w:val="-4"/>
          <w:sz w:val="24"/>
          <w:szCs w:val="24"/>
        </w:rPr>
      </w:pPr>
      <w:r>
        <w:rPr>
          <w:rFonts w:hint="eastAsia" w:ascii="宋体" w:hAnsi="宋体" w:eastAsia="宋体" w:cs="宋体"/>
          <w:bCs/>
          <w:spacing w:val="-4"/>
          <w:sz w:val="24"/>
          <w:szCs w:val="24"/>
        </w:rPr>
        <w:t>2</w:t>
      </w:r>
      <w:r>
        <w:rPr>
          <w:rFonts w:hint="eastAsia" w:ascii="宋体" w:hAnsi="宋体" w:eastAsia="宋体" w:cs="宋体"/>
          <w:bCs/>
          <w:spacing w:val="-4"/>
          <w:sz w:val="24"/>
          <w:szCs w:val="24"/>
          <w:lang w:val="en-US" w:eastAsia="zh-CN"/>
        </w:rPr>
        <w:t>.</w:t>
      </w:r>
      <w:r>
        <w:rPr>
          <w:rFonts w:hint="eastAsia" w:ascii="宋体" w:hAnsi="宋体" w:eastAsia="宋体" w:cs="宋体"/>
          <w:bCs/>
          <w:spacing w:val="-4"/>
          <w:sz w:val="24"/>
          <w:szCs w:val="24"/>
        </w:rPr>
        <w:t>对账：</w:t>
      </w:r>
      <w:r>
        <w:rPr>
          <w:rFonts w:hint="eastAsia" w:ascii="宋体" w:hAnsi="宋体" w:eastAsia="宋体" w:cs="宋体"/>
          <w:bCs/>
          <w:color w:val="000000" w:themeColor="text1"/>
          <w:spacing w:val="-4"/>
          <w:sz w:val="24"/>
          <w:szCs w:val="24"/>
          <w14:textFill>
            <w14:solidFill>
              <w14:schemeClr w14:val="tx1"/>
            </w14:solidFill>
          </w14:textFill>
        </w:rPr>
        <w:t>乙方应</w:t>
      </w:r>
      <w:r>
        <w:rPr>
          <w:rFonts w:hint="eastAsia" w:ascii="宋体" w:hAnsi="宋体" w:eastAsia="宋体" w:cs="宋体"/>
          <w:bCs/>
          <w:color w:val="000000" w:themeColor="text1"/>
          <w:spacing w:val="-4"/>
          <w:sz w:val="24"/>
          <w:szCs w:val="24"/>
          <w:lang w:eastAsia="zh-CN"/>
          <w14:textFill>
            <w14:solidFill>
              <w14:schemeClr w14:val="tx1"/>
            </w14:solidFill>
          </w14:textFill>
        </w:rPr>
        <w:t>将</w:t>
      </w:r>
      <w:r>
        <w:rPr>
          <w:rFonts w:hint="eastAsia" w:ascii="宋体" w:hAnsi="宋体" w:eastAsia="宋体" w:cs="宋体"/>
          <w:bCs/>
          <w:color w:val="000000" w:themeColor="text1"/>
          <w:spacing w:val="-4"/>
          <w:sz w:val="24"/>
          <w:szCs w:val="24"/>
          <w14:textFill>
            <w14:solidFill>
              <w14:schemeClr w14:val="tx1"/>
            </w14:solidFill>
          </w14:textFill>
        </w:rPr>
        <w:t>送货单、结算单等与甲方核对账务，并按双方核定的实际用量足额开具发票</w:t>
      </w:r>
      <w:r>
        <w:rPr>
          <w:rFonts w:hint="eastAsia" w:ascii="宋体" w:hAnsi="宋体" w:eastAsia="宋体" w:cs="宋体"/>
          <w:b/>
          <w:bCs/>
          <w:color w:val="000000" w:themeColor="text1"/>
          <w:spacing w:val="-4"/>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440" w:lineRule="exact"/>
        <w:ind w:firstLine="464" w:firstLineChars="200"/>
        <w:textAlignment w:val="auto"/>
        <w:rPr>
          <w:rFonts w:hint="eastAsia" w:ascii="宋体" w:hAnsi="宋体" w:eastAsia="宋体" w:cs="宋体"/>
          <w:bCs/>
          <w:spacing w:val="-4"/>
          <w:sz w:val="24"/>
          <w:szCs w:val="24"/>
          <w:u w:val="single"/>
          <w:lang w:eastAsia="zh-CN"/>
        </w:rPr>
      </w:pPr>
      <w:r>
        <w:rPr>
          <w:rFonts w:hint="eastAsia" w:ascii="宋体" w:hAnsi="宋体" w:eastAsia="宋体" w:cs="宋体"/>
          <w:bCs/>
          <w:spacing w:val="-4"/>
          <w:sz w:val="24"/>
          <w:szCs w:val="24"/>
        </w:rPr>
        <w:t>3</w:t>
      </w:r>
      <w:r>
        <w:rPr>
          <w:rFonts w:hint="eastAsia" w:ascii="宋体" w:hAnsi="宋体" w:eastAsia="宋体" w:cs="宋体"/>
          <w:bCs/>
          <w:spacing w:val="-4"/>
          <w:sz w:val="24"/>
          <w:szCs w:val="24"/>
          <w:lang w:val="en-US" w:eastAsia="zh-CN"/>
        </w:rPr>
        <w:t>.</w:t>
      </w:r>
      <w:r>
        <w:rPr>
          <w:rFonts w:hint="eastAsia" w:ascii="宋体" w:hAnsi="宋体" w:eastAsia="宋体" w:cs="宋体"/>
          <w:bCs/>
          <w:spacing w:val="-4"/>
          <w:sz w:val="24"/>
          <w:szCs w:val="24"/>
        </w:rPr>
        <w:t>付款：</w:t>
      </w:r>
      <w:r>
        <w:rPr>
          <w:rFonts w:hint="eastAsia" w:ascii="宋体" w:hAnsi="宋体" w:eastAsia="宋体" w:cs="宋体"/>
          <w:bCs/>
          <w:spacing w:val="-4"/>
          <w:sz w:val="24"/>
          <w:szCs w:val="24"/>
          <w:lang w:eastAsia="zh-CN"/>
        </w:rPr>
        <w:t>收到乙方票据后五个工作日内支付相应批次货款</w:t>
      </w:r>
      <w:r>
        <w:rPr>
          <w:rFonts w:hint="eastAsia" w:ascii="宋体" w:hAnsi="宋体" w:eastAsia="宋体" w:cs="宋体"/>
          <w:bCs/>
          <w:color w:val="auto"/>
          <w:spacing w:val="-4"/>
          <w:sz w:val="24"/>
          <w:szCs w:val="24"/>
          <w:lang w:eastAsia="zh-CN"/>
        </w:rPr>
        <w:t>。</w:t>
      </w:r>
    </w:p>
    <w:p>
      <w:pPr>
        <w:keepNext w:val="0"/>
        <w:keepLines w:val="0"/>
        <w:pageBreakBefore w:val="0"/>
        <w:kinsoku/>
        <w:wordWrap/>
        <w:overflowPunct/>
        <w:topLinePunct w:val="0"/>
        <w:autoSpaceDE/>
        <w:autoSpaceDN/>
        <w:bidi w:val="0"/>
        <w:spacing w:line="440" w:lineRule="exact"/>
        <w:ind w:firstLine="464" w:firstLineChars="200"/>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rPr>
        <w:t>4</w:t>
      </w:r>
      <w:r>
        <w:rPr>
          <w:rFonts w:hint="eastAsia" w:ascii="宋体" w:hAnsi="宋体" w:eastAsia="宋体" w:cs="宋体"/>
          <w:bCs/>
          <w:spacing w:val="-4"/>
          <w:sz w:val="24"/>
          <w:szCs w:val="24"/>
          <w:lang w:val="en-US" w:eastAsia="zh-CN"/>
        </w:rPr>
        <w:t>.</w:t>
      </w:r>
      <w:r>
        <w:rPr>
          <w:rFonts w:hint="eastAsia" w:ascii="宋体" w:hAnsi="宋体" w:eastAsia="宋体" w:cs="宋体"/>
          <w:bCs/>
          <w:spacing w:val="-4"/>
          <w:sz w:val="24"/>
          <w:szCs w:val="24"/>
        </w:rPr>
        <w:t>付款方式：以银行转账、承兑汇票、融信、云信和金信等供应链金融产品及其他双方可接受的方式支付。</w:t>
      </w:r>
    </w:p>
    <w:p>
      <w:pPr>
        <w:keepNext w:val="0"/>
        <w:keepLines w:val="0"/>
        <w:pageBreakBefore w:val="0"/>
        <w:kinsoku/>
        <w:wordWrap/>
        <w:overflowPunct/>
        <w:topLinePunct w:val="0"/>
        <w:autoSpaceDE/>
        <w:autoSpaceDN/>
        <w:bidi w:val="0"/>
        <w:spacing w:line="440" w:lineRule="exact"/>
        <w:ind w:firstLine="464" w:firstLineChars="200"/>
        <w:textAlignment w:val="auto"/>
        <w:rPr>
          <w:rFonts w:hint="eastAsia" w:ascii="宋体" w:hAnsi="宋体" w:eastAsia="宋体" w:cs="宋体"/>
          <w:bCs/>
          <w:spacing w:val="-4"/>
          <w:sz w:val="24"/>
          <w:szCs w:val="24"/>
        </w:rPr>
      </w:pPr>
      <w:r>
        <w:rPr>
          <w:rFonts w:hint="eastAsia" w:ascii="宋体" w:hAnsi="宋体" w:eastAsia="宋体" w:cs="宋体"/>
          <w:bCs/>
          <w:spacing w:val="-4"/>
          <w:sz w:val="24"/>
          <w:szCs w:val="24"/>
        </w:rPr>
        <w:t>5</w:t>
      </w:r>
      <w:r>
        <w:rPr>
          <w:rFonts w:hint="eastAsia" w:ascii="宋体" w:hAnsi="宋体" w:eastAsia="宋体" w:cs="宋体"/>
          <w:bCs/>
          <w:spacing w:val="-4"/>
          <w:sz w:val="24"/>
          <w:szCs w:val="24"/>
          <w:lang w:val="en-US" w:eastAsia="zh-CN"/>
        </w:rPr>
        <w:t>.</w:t>
      </w:r>
      <w:r>
        <w:rPr>
          <w:rFonts w:hint="eastAsia" w:ascii="宋体" w:hAnsi="宋体" w:eastAsia="宋体" w:cs="宋体"/>
          <w:bCs/>
          <w:spacing w:val="-4"/>
          <w:sz w:val="24"/>
          <w:szCs w:val="24"/>
        </w:rPr>
        <w:t>甲乙双方如对货款、</w:t>
      </w:r>
      <w:r>
        <w:rPr>
          <w:rFonts w:hint="eastAsia" w:ascii="宋体" w:hAnsi="宋体" w:eastAsia="宋体" w:cs="宋体"/>
          <w:bCs/>
          <w:spacing w:val="-4"/>
          <w:sz w:val="24"/>
          <w:szCs w:val="24"/>
          <w:lang w:eastAsia="zh-CN"/>
        </w:rPr>
        <w:t>账务</w:t>
      </w:r>
      <w:r>
        <w:rPr>
          <w:rFonts w:hint="eastAsia" w:ascii="宋体" w:hAnsi="宋体" w:eastAsia="宋体" w:cs="宋体"/>
          <w:bCs/>
          <w:spacing w:val="-4"/>
          <w:sz w:val="24"/>
          <w:szCs w:val="24"/>
        </w:rPr>
        <w:t>、发票等有异议，甲方可以对异议部分延迟付款，直至双方达成一致意见。</w:t>
      </w:r>
    </w:p>
    <w:p>
      <w:pPr>
        <w:keepNext w:val="0"/>
        <w:keepLines w:val="0"/>
        <w:pageBreakBefore w:val="0"/>
        <w:kinsoku/>
        <w:wordWrap/>
        <w:overflowPunct/>
        <w:topLinePunct w:val="0"/>
        <w:autoSpaceDE/>
        <w:autoSpaceDN/>
        <w:bidi w:val="0"/>
        <w:spacing w:line="440" w:lineRule="exact"/>
        <w:ind w:firstLine="464" w:firstLineChars="200"/>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6.</w:t>
      </w:r>
      <w:r>
        <w:rPr>
          <w:rFonts w:hint="eastAsia" w:ascii="宋体" w:hAnsi="宋体" w:eastAsia="宋体" w:cs="宋体"/>
          <w:bCs/>
          <w:spacing w:val="-4"/>
          <w:sz w:val="24"/>
          <w:szCs w:val="24"/>
        </w:rPr>
        <w:t>因市场行情变化时，双方根据</w:t>
      </w:r>
      <w:r>
        <w:rPr>
          <w:rFonts w:hint="eastAsia" w:ascii="宋体" w:hAnsi="宋体" w:eastAsia="宋体" w:cs="宋体"/>
          <w:bCs/>
          <w:spacing w:val="-4"/>
          <w:sz w:val="24"/>
          <w:szCs w:val="24"/>
          <w:lang w:val="en-US" w:eastAsia="zh-CN"/>
        </w:rPr>
        <w:t>区域现执行价格与中标价格的差价</w:t>
      </w:r>
      <w:r>
        <w:rPr>
          <w:rFonts w:hint="eastAsia" w:ascii="宋体" w:hAnsi="宋体" w:eastAsia="宋体" w:cs="宋体"/>
          <w:bCs/>
          <w:spacing w:val="-4"/>
          <w:sz w:val="24"/>
          <w:szCs w:val="24"/>
        </w:rPr>
        <w:t>进行协商</w:t>
      </w:r>
      <w:r>
        <w:rPr>
          <w:rFonts w:hint="eastAsia" w:ascii="宋体" w:hAnsi="宋体" w:eastAsia="宋体" w:cs="宋体"/>
          <w:bCs/>
          <w:spacing w:val="-4"/>
          <w:sz w:val="24"/>
          <w:szCs w:val="24"/>
          <w:lang w:val="en-US" w:eastAsia="zh-CN"/>
        </w:rPr>
        <w:t>调整。</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六、</w:t>
      </w:r>
      <w:r>
        <w:rPr>
          <w:rFonts w:hint="eastAsia" w:ascii="宋体" w:hAnsi="宋体" w:eastAsia="宋体" w:cs="宋体"/>
          <w:b/>
          <w:color w:val="000000"/>
          <w:sz w:val="24"/>
          <w:szCs w:val="24"/>
        </w:rPr>
        <w:t>双方基本信息</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3"/>
        <w:gridCol w:w="2050"/>
        <w:gridCol w:w="6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restar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甲方</w:t>
            </w: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名称</w:t>
            </w:r>
          </w:p>
        </w:tc>
        <w:tc>
          <w:tcPr>
            <w:tcW w:w="3510" w:type="pct"/>
          </w:tcPr>
          <w:p>
            <w:pPr>
              <w:spacing w:line="500" w:lineRule="exact"/>
              <w:rPr>
                <w:rFonts w:hint="eastAsia"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纳税人身份</w:t>
            </w:r>
          </w:p>
        </w:tc>
        <w:tc>
          <w:tcPr>
            <w:tcW w:w="3510" w:type="pct"/>
          </w:tcPr>
          <w:p>
            <w:pPr>
              <w:spacing w:line="500" w:lineRule="exact"/>
              <w:ind w:firstLine="420" w:firstLineChars="200"/>
              <w:rPr>
                <w:rFonts w:ascii="仿宋" w:hAnsi="仿宋" w:eastAsia="仿宋"/>
                <w:color w:val="000000"/>
                <w:szCs w:val="21"/>
              </w:rPr>
            </w:pPr>
            <w:r>
              <w:rPr>
                <w:rFonts w:ascii="仿宋" w:hAnsi="仿宋" w:eastAsia="仿宋"/>
                <w:color w:val="000000"/>
                <w:szCs w:val="21"/>
              </w:rPr>
              <mc:AlternateContent>
                <mc:Choice Requires="wps">
                  <w:drawing>
                    <wp:anchor distT="0" distB="0" distL="114300" distR="114300" simplePos="0" relativeHeight="251662336" behindDoc="0" locked="0" layoutInCell="1" allowOverlap="1">
                      <wp:simplePos x="0" y="0"/>
                      <wp:positionH relativeFrom="column">
                        <wp:posOffset>240030</wp:posOffset>
                      </wp:positionH>
                      <wp:positionV relativeFrom="paragraph">
                        <wp:posOffset>100965</wp:posOffset>
                      </wp:positionV>
                      <wp:extent cx="154940" cy="155575"/>
                      <wp:effectExtent l="5080" t="4445" r="11430" b="11430"/>
                      <wp:wrapNone/>
                      <wp:docPr id="5" name="矩形 10"/>
                      <wp:cNvGraphicFramePr/>
                      <a:graphic xmlns:a="http://schemas.openxmlformats.org/drawingml/2006/main">
                        <a:graphicData uri="http://schemas.microsoft.com/office/word/2010/wordprocessingShape">
                          <wps:wsp>
                            <wps:cNvSpPr/>
                            <wps:spPr>
                              <a:xfrm>
                                <a:off x="0" y="0"/>
                                <a:ext cx="154940" cy="155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default" w:ascii="Arial" w:hAnsi="Arial" w:eastAsia="宋体" w:cs="Arial"/>
                                      <w:lang w:eastAsia="zh-CN"/>
                                    </w:rPr>
                                    <w:t>√</w:t>
                                  </w:r>
                                </w:p>
                              </w:txbxContent>
                            </wps:txbx>
                            <wps:bodyPr upright="1"/>
                          </wps:wsp>
                        </a:graphicData>
                      </a:graphic>
                    </wp:anchor>
                  </w:drawing>
                </mc:Choice>
                <mc:Fallback>
                  <w:pict>
                    <v:rect id="矩形 10" o:spid="_x0000_s1026" o:spt="1" style="position:absolute;left:0pt;margin-left:18.9pt;margin-top:7.95pt;height:12.25pt;width:12.2pt;z-index:251662336;mso-width-relative:page;mso-height-relative:page;" fillcolor="#FFFFFF" filled="t" stroked="t" coordsize="21600,21600" o:gfxdata="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j4sl1gAAAAcBAAAPAAAAAAAAAAEAIAAAACIAAABkcnMvZG93bnJl&#10;di54bWxQSwECFAAUAAAACACHTuJARMCV0v8BAAApBAAADgAAAAAAAAABACAAAAAlAQAAZHJzL2Uy&#10;b0RvYy54bWxQSwUGAAAAAAYABgBZAQAAlgUAAAAA&#10;">
                      <v:fill on="t" focussize="0,0"/>
                      <v:stroke color="#000000" joinstyle="miter"/>
                      <v:imagedata o:title=""/>
                      <o:lock v:ext="edit" aspectratio="f"/>
                      <v:textbox>
                        <w:txbxContent>
                          <w:p>
                            <w:pPr>
                              <w:rPr>
                                <w:rFonts w:hint="eastAsia" w:eastAsia="宋体"/>
                                <w:lang w:eastAsia="zh-CN"/>
                              </w:rPr>
                            </w:pPr>
                            <w:r>
                              <w:rPr>
                                <w:rFonts w:hint="default" w:ascii="Arial" w:hAnsi="Arial" w:eastAsia="宋体" w:cs="Arial"/>
                                <w:lang w:eastAsia="zh-CN"/>
                              </w:rPr>
                              <w:t>√</w:t>
                            </w:r>
                          </w:p>
                        </w:txbxContent>
                      </v:textbox>
                    </v:rect>
                  </w:pict>
                </mc:Fallback>
              </mc:AlternateContent>
            </w:r>
            <w:r>
              <w:rPr>
                <w:rFonts w:ascii="仿宋" w:hAnsi="仿宋" w:eastAsia="仿宋"/>
                <w:color w:val="000000"/>
                <w:szCs w:val="21"/>
              </w:rPr>
              <mc:AlternateContent>
                <mc:Choice Requires="wps">
                  <w:drawing>
                    <wp:anchor distT="0" distB="0" distL="114300" distR="114300" simplePos="0" relativeHeight="251659264" behindDoc="0" locked="0" layoutInCell="1" allowOverlap="1">
                      <wp:simplePos x="0" y="0"/>
                      <wp:positionH relativeFrom="column">
                        <wp:posOffset>1649730</wp:posOffset>
                      </wp:positionH>
                      <wp:positionV relativeFrom="paragraph">
                        <wp:posOffset>100965</wp:posOffset>
                      </wp:positionV>
                      <wp:extent cx="154940" cy="155575"/>
                      <wp:effectExtent l="5080" t="4445" r="11430" b="11430"/>
                      <wp:wrapNone/>
                      <wp:docPr id="2" name="矩形 7"/>
                      <wp:cNvGraphicFramePr/>
                      <a:graphic xmlns:a="http://schemas.openxmlformats.org/drawingml/2006/main">
                        <a:graphicData uri="http://schemas.microsoft.com/office/word/2010/wordprocessingShape">
                          <wps:wsp>
                            <wps:cNvSpPr/>
                            <wps:spPr>
                              <a:xfrm>
                                <a:off x="0" y="0"/>
                                <a:ext cx="154940" cy="1555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129.9pt;margin-top:7.95pt;height:12.25pt;width:12.2pt;z-index:251659264;mso-width-relative:page;mso-height-relative:page;" fillcolor="#FFFFFF" filled="t" stroked="t" coordsize="21600,21600" o:gfxdata="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DGwstcAAAAJAQAADwAAAAAAAAABACAAAAAiAAAAZHJzL2Rvd25y&#10;ZXYueG1sUEsBAhQAFAAAAAgAh07iQFD0ntz/AQAAKAQAAA4AAAAAAAAAAQAgAAAAJgEAAGRycy9l&#10;Mm9Eb2MueG1sUEsFBgAAAAAGAAYAWQEAAJcFAAAAAA==&#10;">
                      <v:fill on="t" focussize="0,0"/>
                      <v:stroke color="#000000" joinstyle="miter"/>
                      <v:imagedata o:title=""/>
                      <o:lock v:ext="edit" aspectratio="f"/>
                      <v:textbox>
                        <w:txbxContent>
                          <w:p/>
                        </w:txbxContent>
                      </v:textbox>
                    </v:rect>
                  </w:pict>
                </mc:Fallback>
              </mc:AlternateContent>
            </w:r>
            <w:r>
              <w:rPr>
                <w:rFonts w:hint="eastAsia" w:ascii="仿宋" w:hAnsi="仿宋" w:eastAsia="仿宋"/>
                <w:color w:val="000000"/>
                <w:szCs w:val="21"/>
              </w:rPr>
              <w:t xml:space="preserve">    一般纳税人              小规模纳税人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纳税人识别号</w:t>
            </w:r>
          </w:p>
        </w:tc>
        <w:tc>
          <w:tcPr>
            <w:tcW w:w="3510" w:type="pct"/>
          </w:tcPr>
          <w:p>
            <w:pPr>
              <w:spacing w:line="500" w:lineRule="exact"/>
              <w:rPr>
                <w:rFonts w:hint="default" w:ascii="仿宋" w:hAnsi="仿宋" w:eastAsia="仿宋"/>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地址、电话</w:t>
            </w:r>
          </w:p>
        </w:tc>
        <w:tc>
          <w:tcPr>
            <w:tcW w:w="3510" w:type="pct"/>
          </w:tcPr>
          <w:p>
            <w:pPr>
              <w:spacing w:line="500" w:lineRule="exact"/>
              <w:rPr>
                <w:rFonts w:hint="default" w:ascii="仿宋" w:hAnsi="仿宋" w:eastAsia="仿宋"/>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开户行及账号</w:t>
            </w:r>
          </w:p>
        </w:tc>
        <w:tc>
          <w:tcPr>
            <w:tcW w:w="3510" w:type="pct"/>
          </w:tcPr>
          <w:p>
            <w:pPr>
              <w:spacing w:line="500" w:lineRule="exact"/>
              <w:rPr>
                <w:rFonts w:hint="default" w:ascii="仿宋" w:hAnsi="仿宋" w:eastAsia="仿宋"/>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对账及结算人员</w:t>
            </w:r>
          </w:p>
        </w:tc>
        <w:tc>
          <w:tcPr>
            <w:tcW w:w="3510" w:type="pct"/>
          </w:tcPr>
          <w:p>
            <w:pPr>
              <w:spacing w:line="500" w:lineRule="exact"/>
              <w:rPr>
                <w:rFonts w:hint="default" w:ascii="仿宋" w:hAnsi="仿宋" w:eastAsia="仿宋"/>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restar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乙方</w:t>
            </w: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名称</w:t>
            </w:r>
          </w:p>
        </w:tc>
        <w:tc>
          <w:tcPr>
            <w:tcW w:w="3510" w:type="pct"/>
          </w:tcPr>
          <w:p>
            <w:pPr>
              <w:spacing w:line="50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纳税人身份</w:t>
            </w:r>
          </w:p>
        </w:tc>
        <w:tc>
          <w:tcPr>
            <w:tcW w:w="3510" w:type="pct"/>
          </w:tcPr>
          <w:p>
            <w:pPr>
              <w:spacing w:line="500" w:lineRule="exact"/>
              <w:rPr>
                <w:rFonts w:ascii="仿宋" w:hAnsi="仿宋" w:eastAsia="仿宋"/>
                <w:color w:val="000000"/>
                <w:szCs w:val="21"/>
              </w:rPr>
            </w:pPr>
            <w:r>
              <w:rPr>
                <w:rFonts w:ascii="仿宋" w:hAnsi="仿宋" w:eastAsia="仿宋"/>
                <w:color w:val="000000"/>
                <w:szCs w:val="21"/>
              </w:rPr>
              <mc:AlternateContent>
                <mc:Choice Requires="wps">
                  <w:drawing>
                    <wp:anchor distT="0" distB="0" distL="114300" distR="114300" simplePos="0" relativeHeight="251661312" behindDoc="0" locked="0" layoutInCell="1" allowOverlap="1">
                      <wp:simplePos x="0" y="0"/>
                      <wp:positionH relativeFrom="column">
                        <wp:posOffset>1649730</wp:posOffset>
                      </wp:positionH>
                      <wp:positionV relativeFrom="paragraph">
                        <wp:posOffset>112395</wp:posOffset>
                      </wp:positionV>
                      <wp:extent cx="154940" cy="155575"/>
                      <wp:effectExtent l="5080" t="4445" r="11430" b="11430"/>
                      <wp:wrapNone/>
                      <wp:docPr id="4" name="矩形 9"/>
                      <wp:cNvGraphicFramePr/>
                      <a:graphic xmlns:a="http://schemas.openxmlformats.org/drawingml/2006/main">
                        <a:graphicData uri="http://schemas.microsoft.com/office/word/2010/wordprocessingShape">
                          <wps:wsp>
                            <wps:cNvSpPr/>
                            <wps:spPr>
                              <a:xfrm>
                                <a:off x="0" y="0"/>
                                <a:ext cx="154940" cy="1555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9" o:spid="_x0000_s1026" o:spt="1" style="position:absolute;left:0pt;margin-left:129.9pt;margin-top:8.85pt;height:12.25pt;width:12.2pt;z-index:251661312;mso-width-relative:page;mso-height-relative:page;" fillcolor="#FFFFFF" filled="t" stroked="t" coordsize="21600,21600" o:gfxdata="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oiU4bYAAAACQEAAA8AAAAAAAAAAQAgAAAAIgAAAGRycy9kb3du&#10;cmV2LnhtbFBLAQIUABQAAAAIAIdO4kBI4xwY/wEAACgEAAAOAAAAAAAAAAEAIAAAACcBAABkcnMv&#10;ZTJvRG9jLnhtbFBLBQYAAAAABgAGAFkBAACYBQAAAAA=&#10;">
                      <v:fill on="t" focussize="0,0"/>
                      <v:stroke color="#000000" joinstyle="miter"/>
                      <v:imagedata o:title=""/>
                      <o:lock v:ext="edit" aspectratio="f"/>
                      <v:textbox>
                        <w:txbxContent>
                          <w:p/>
                        </w:txbxContent>
                      </v:textbox>
                    </v:rect>
                  </w:pict>
                </mc:Fallback>
              </mc:AlternateContent>
            </w:r>
            <w:r>
              <w:rPr>
                <w:rFonts w:ascii="仿宋" w:hAnsi="仿宋" w:eastAsia="仿宋"/>
                <w:color w:val="000000"/>
                <w:szCs w:val="21"/>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112395</wp:posOffset>
                      </wp:positionV>
                      <wp:extent cx="154940" cy="155575"/>
                      <wp:effectExtent l="5080" t="4445" r="11430" b="11430"/>
                      <wp:wrapNone/>
                      <wp:docPr id="3" name="矩形 8"/>
                      <wp:cNvGraphicFramePr/>
                      <a:graphic xmlns:a="http://schemas.openxmlformats.org/drawingml/2006/main">
                        <a:graphicData uri="http://schemas.microsoft.com/office/word/2010/wordprocessingShape">
                          <wps:wsp>
                            <wps:cNvSpPr/>
                            <wps:spPr>
                              <a:xfrm>
                                <a:off x="0" y="0"/>
                                <a:ext cx="154940" cy="1555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8" o:spid="_x0000_s1026" o:spt="1" style="position:absolute;left:0pt;margin-left:2.9pt;margin-top:8.85pt;height:12.25pt;width:12.2pt;z-index:251660288;mso-width-relative:page;mso-height-relative:page;" fillcolor="#FFFFFF" filled="t" stroked="t" coordsize="21600,21600" o:gfxdata="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r3QGdQAAAAGAQAADwAAAAAAAAABACAAAAAiAAAAZHJzL2Rvd25yZXYu&#10;eG1sUEsBAhQAFAAAAAgAh07iQLvr+g7/AQAAKAQAAA4AAAAAAAAAAQAgAAAAIwEAAGRycy9lMm9E&#10;b2MueG1sUEsFBgAAAAAGAAYAWQEAAJQFAAAAAA==&#10;">
                      <v:fill on="t" focussize="0,0"/>
                      <v:stroke color="#000000" joinstyle="miter"/>
                      <v:imagedata o:title=""/>
                      <o:lock v:ext="edit" aspectratio="f"/>
                      <v:textbox>
                        <w:txbxContent>
                          <w:p/>
                        </w:txbxContent>
                      </v:textbox>
                    </v:rect>
                  </w:pict>
                </mc:Fallback>
              </mc:AlternateContent>
            </w:r>
            <w:r>
              <w:rPr>
                <w:rFonts w:hint="eastAsia" w:ascii="仿宋" w:hAnsi="仿宋" w:eastAsia="仿宋"/>
                <w:color w:val="000000"/>
                <w:szCs w:val="21"/>
              </w:rPr>
              <w:t xml:space="preserve">    一般纳税人              小规模纳税人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纳税人识别号</w:t>
            </w:r>
          </w:p>
        </w:tc>
        <w:tc>
          <w:tcPr>
            <w:tcW w:w="3510" w:type="pct"/>
          </w:tcPr>
          <w:p>
            <w:pPr>
              <w:spacing w:line="50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地址、电话</w:t>
            </w:r>
          </w:p>
        </w:tc>
        <w:tc>
          <w:tcPr>
            <w:tcW w:w="3510" w:type="pct"/>
          </w:tcPr>
          <w:p>
            <w:pPr>
              <w:spacing w:line="50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开户行及账号</w:t>
            </w:r>
          </w:p>
        </w:tc>
        <w:tc>
          <w:tcPr>
            <w:tcW w:w="3510" w:type="pct"/>
          </w:tcPr>
          <w:p>
            <w:pPr>
              <w:spacing w:line="50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pct"/>
            <w:vMerge w:val="continue"/>
          </w:tcPr>
          <w:p>
            <w:pPr>
              <w:spacing w:line="500" w:lineRule="exact"/>
              <w:rPr>
                <w:rFonts w:ascii="仿宋" w:hAnsi="仿宋" w:eastAsia="仿宋"/>
                <w:color w:val="000000"/>
                <w:szCs w:val="21"/>
              </w:rPr>
            </w:pPr>
          </w:p>
        </w:tc>
        <w:tc>
          <w:tcPr>
            <w:tcW w:w="1097" w:type="pct"/>
            <w:vAlign w:val="center"/>
          </w:tcPr>
          <w:p>
            <w:pPr>
              <w:spacing w:line="500" w:lineRule="exact"/>
              <w:jc w:val="center"/>
              <w:rPr>
                <w:rFonts w:ascii="仿宋" w:hAnsi="仿宋" w:eastAsia="仿宋"/>
                <w:color w:val="000000"/>
                <w:szCs w:val="21"/>
              </w:rPr>
            </w:pPr>
            <w:r>
              <w:rPr>
                <w:rFonts w:hint="eastAsia" w:ascii="仿宋" w:hAnsi="仿宋" w:eastAsia="仿宋"/>
                <w:color w:val="000000"/>
                <w:szCs w:val="21"/>
              </w:rPr>
              <w:t>对账及结算人员</w:t>
            </w:r>
          </w:p>
        </w:tc>
        <w:tc>
          <w:tcPr>
            <w:tcW w:w="3510" w:type="pct"/>
          </w:tcPr>
          <w:p>
            <w:pPr>
              <w:spacing w:line="500" w:lineRule="exact"/>
              <w:rPr>
                <w:rFonts w:ascii="仿宋" w:hAnsi="仿宋" w:eastAsia="仿宋"/>
                <w:color w:val="000000"/>
                <w:szCs w:val="21"/>
              </w:rPr>
            </w:pPr>
          </w:p>
        </w:tc>
      </w:tr>
    </w:tbl>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sz w:val="24"/>
          <w:szCs w:val="24"/>
        </w:rPr>
        <w:t>任何一方如上述信息发生变更，应提前十日以书面方式通知另一方。如一方未按本合同规定通知而使另一方遭受损失的，应予以赔偿。</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七、服务要求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甲乙双方在履行合同过程中，应友好协作，发现问题及时解决，避免不必要的矛盾、误会产生，影响正常的生产。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甲方可视供货情况，在乙方因资金或其它原因确实不能保证生产所需</w:t>
      </w:r>
      <w:r>
        <w:rPr>
          <w:rFonts w:hint="eastAsia" w:ascii="宋体" w:hAnsi="宋体" w:eastAsia="宋体" w:cs="宋体"/>
          <w:color w:val="000000" w:themeColor="text1"/>
          <w:kern w:val="0"/>
          <w:sz w:val="24"/>
          <w:szCs w:val="24"/>
          <w:lang w:eastAsia="zh-CN"/>
          <w14:textFill>
            <w14:solidFill>
              <w14:schemeClr w14:val="tx1"/>
            </w14:solidFill>
          </w14:textFill>
        </w:rPr>
        <w:t>砂石</w:t>
      </w:r>
      <w:r>
        <w:rPr>
          <w:rFonts w:hint="eastAsia" w:ascii="宋体" w:hAnsi="宋体" w:eastAsia="宋体" w:cs="宋体"/>
          <w:color w:val="000000" w:themeColor="text1"/>
          <w:kern w:val="0"/>
          <w:sz w:val="24"/>
          <w:szCs w:val="24"/>
          <w14:textFill>
            <w14:solidFill>
              <w14:schemeClr w14:val="tx1"/>
            </w14:solidFill>
          </w14:textFill>
        </w:rPr>
        <w:t>的情况下，甲方可在招标合格供应商中进行调整安排</w:t>
      </w:r>
      <w:r>
        <w:rPr>
          <w:rFonts w:hint="eastAsia" w:ascii="宋体" w:hAnsi="宋体" w:eastAsia="宋体" w:cs="宋体"/>
          <w:color w:val="000000" w:themeColor="text1"/>
          <w:kern w:val="0"/>
          <w:sz w:val="24"/>
          <w:szCs w:val="24"/>
          <w:lang w:eastAsia="zh-CN"/>
          <w14:textFill>
            <w14:solidFill>
              <w14:schemeClr w14:val="tx1"/>
            </w14:solidFill>
          </w14:textFill>
        </w:rPr>
        <w:t>砂石</w:t>
      </w:r>
      <w:r>
        <w:rPr>
          <w:rFonts w:hint="eastAsia" w:ascii="宋体" w:hAnsi="宋体" w:eastAsia="宋体" w:cs="宋体"/>
          <w:color w:val="000000" w:themeColor="text1"/>
          <w:kern w:val="0"/>
          <w:sz w:val="24"/>
          <w:szCs w:val="24"/>
          <w14:textFill>
            <w14:solidFill>
              <w14:schemeClr w14:val="tx1"/>
            </w14:solidFill>
          </w14:textFill>
        </w:rPr>
        <w:t>供应，确保生产的正常。</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乙方在合同执行中不能适当或全面履行合同时，甲方有权采用书面（违约通知）形式通知乙方终止或部分终止合同，由此发生的一切费用、损失和索赔由乙方承担。</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乙方每年须向甲方提供</w:t>
      </w:r>
      <w:r>
        <w:rPr>
          <w:rFonts w:hint="eastAsia" w:ascii="宋体" w:hAnsi="宋体" w:eastAsia="宋体" w:cs="宋体"/>
          <w:color w:val="000000" w:themeColor="text1"/>
          <w:kern w:val="0"/>
          <w:sz w:val="24"/>
          <w:szCs w:val="24"/>
          <w:highlight w:val="none"/>
          <w14:textFill>
            <w14:solidFill>
              <w14:schemeClr w14:val="tx1"/>
            </w14:solidFill>
          </w14:textFill>
        </w:rPr>
        <w:t>提供</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溯源地原材料</w:t>
      </w:r>
      <w:r>
        <w:rPr>
          <w:rFonts w:hint="eastAsia" w:ascii="宋体" w:hAnsi="宋体" w:eastAsia="宋体" w:cs="宋体"/>
          <w:color w:val="000000" w:themeColor="text1"/>
          <w:kern w:val="0"/>
          <w:sz w:val="24"/>
          <w:szCs w:val="24"/>
          <w14:textFill>
            <w14:solidFill>
              <w14:schemeClr w14:val="tx1"/>
            </w14:solidFill>
          </w14:textFill>
        </w:rPr>
        <w:t>第三方检测报告至少一次</w:t>
      </w:r>
      <w:r>
        <w:rPr>
          <w:rFonts w:hint="eastAsia" w:ascii="宋体" w:hAnsi="宋体" w:eastAsia="宋体" w:cs="宋体"/>
          <w:color w:val="000000" w:themeColor="text1"/>
          <w:kern w:val="0"/>
          <w:sz w:val="24"/>
          <w:szCs w:val="24"/>
          <w:lang w:val="en-US" w:eastAsia="zh-CN"/>
          <w14:textFill>
            <w14:solidFill>
              <w14:schemeClr w14:val="tx1"/>
            </w14:solidFill>
          </w14:textFill>
        </w:rPr>
        <w:t>；如乙方变更溯源地，应按甲方要求递交变更溯源地的相关资料（营业执照、检测报告及其他相关资料）</w:t>
      </w:r>
      <w:r>
        <w:rPr>
          <w:rFonts w:hint="eastAsia" w:ascii="宋体" w:hAnsi="宋体" w:cs="宋体"/>
          <w:color w:val="000000" w:themeColor="text1"/>
          <w:kern w:val="0"/>
          <w:sz w:val="24"/>
          <w:szCs w:val="24"/>
          <w:lang w:val="en-US"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乙方不能按本合同约定的时间、方式供货的，经多次沟通拒不整改的：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（1）甲方可单方通知解除合同，由乙方承担总货款5%违约金并赔偿由此给甲方造成的一切损失；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不解除合同的，乙方除继续依约履行合同外，且必须按甲方要求立即组织更换或完善不符合的条件及要求，还应承担总货款5%违约金并赔偿由此给甲方造成的一切损失。注：因完善条件延误时间的，仍视为乙方不能按期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乙方货物不符合本合同约定的质量标准的，经多次沟通拒不整改：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（1）甲方可随时单方通知解除合同，由乙方承担总货款5%违约金并赔偿由此给甲方造成的一损失；</w:t>
      </w:r>
    </w:p>
    <w:p>
      <w:pPr>
        <w:pStyle w:val="51"/>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（2）甲方不解除合同的，乙方除按甲方要求立即组织更换或完善不符合的条件及要求，继续履行合同外，还应承担总货款5%违约金并赔偿由此给甲方造成的一切损失。</w:t>
      </w:r>
    </w:p>
    <w:p>
      <w:pPr>
        <w:pStyle w:val="51"/>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乙方应保证供货质量，若达不到要求质量的质量标准，则退货，乙方拒不退货时，甲方将视为废物处理，不予验收；若1个月内出现三次退货，甲方有权终止合同，并处以壹万元罚款，且有权停止支付乙方货款。</w:t>
      </w:r>
    </w:p>
    <w:p>
      <w:pPr>
        <w:pStyle w:val="51"/>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如资金或其他问题未及时解决或在处理当中，乙方应保证正常供货，不得因问题未解决影响</w:t>
      </w:r>
      <w:r>
        <w:rPr>
          <w:rFonts w:hint="eastAsia" w:ascii="宋体" w:hAnsi="宋体" w:eastAsia="宋体" w:cs="宋体"/>
          <w:color w:val="000000" w:themeColor="text1"/>
          <w:kern w:val="0"/>
          <w:sz w:val="24"/>
          <w:szCs w:val="24"/>
          <w:lang w:eastAsia="zh-CN"/>
          <w14:textFill>
            <w14:solidFill>
              <w14:schemeClr w14:val="tx1"/>
            </w14:solidFill>
          </w14:textFill>
        </w:rPr>
        <w:t>甲方</w:t>
      </w:r>
      <w:r>
        <w:rPr>
          <w:rFonts w:hint="eastAsia" w:ascii="宋体" w:hAnsi="宋体" w:eastAsia="宋体" w:cs="宋体"/>
          <w:color w:val="000000" w:themeColor="text1"/>
          <w:kern w:val="0"/>
          <w:sz w:val="24"/>
          <w:szCs w:val="24"/>
          <w14:textFill>
            <w14:solidFill>
              <w14:schemeClr w14:val="tx1"/>
            </w14:solidFill>
          </w14:textFill>
        </w:rPr>
        <w:t>的生产，如采取过激手段拒绝供货，影响甲方正常运营或造成的直接经济损失由乙方承担，并罚款壹万元每次，同时列入不合格供应商名录，情节严重的甲方有权终止合同。</w:t>
      </w:r>
    </w:p>
    <w:p>
      <w:pPr>
        <w:pStyle w:val="51"/>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5.乙方要遵守甲方供货搅拌站的相关规定，如乙方不遵守搅拌站规定，每发现一次罚款2000元。</w:t>
      </w:r>
    </w:p>
    <w:p>
      <w:pPr>
        <w:pStyle w:val="51"/>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、解决合同争议的方式</w:t>
      </w:r>
    </w:p>
    <w:p>
      <w:pPr>
        <w:pStyle w:val="51"/>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本合同如发生争议，双方应协商解决。协商不成的，任何一方均可向</w:t>
      </w:r>
      <w:r>
        <w:rPr>
          <w:rFonts w:hint="eastAsia" w:ascii="宋体" w:hAnsi="宋体" w:eastAsia="宋体" w:cs="宋体"/>
          <w:sz w:val="24"/>
          <w:szCs w:val="24"/>
        </w:rPr>
        <w:t>甲方所在地有管辖权的人民法</w:t>
      </w:r>
      <w:r>
        <w:rPr>
          <w:rFonts w:hint="eastAsia" w:ascii="宋体" w:hAnsi="宋体" w:eastAsia="宋体" w:cs="宋体"/>
          <w:color w:val="000000"/>
          <w:sz w:val="24"/>
          <w:szCs w:val="24"/>
        </w:rPr>
        <w:t>院提起诉讼。</w:t>
      </w:r>
    </w:p>
    <w:p>
      <w:pPr>
        <w:pStyle w:val="51"/>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十、其它约定事项</w:t>
      </w:r>
    </w:p>
    <w:p>
      <w:pPr>
        <w:pStyle w:val="51"/>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合同履行过程中，如因需要变更合同或者终止合同的，一方应书面通知另一方，经双方协商一致后方可变更或者终止合同。在签订合同的当日，双方均应相互提供营业执照法人身份证明或代理人身份证复印件，以备双方存档。</w:t>
      </w:r>
      <w:r>
        <w:rPr>
          <w:rFonts w:hint="eastAsia" w:ascii="宋体" w:hAnsi="宋体" w:eastAsia="宋体" w:cs="宋体"/>
          <w:color w:val="000000" w:themeColor="text1"/>
          <w:sz w:val="24"/>
          <w:szCs w:val="24"/>
          <w14:textFill>
            <w14:solidFill>
              <w14:schemeClr w14:val="tx1"/>
            </w14:solidFill>
          </w14:textFill>
        </w:rPr>
        <w:t>合同期满，甲方不再</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的，同等价格且质量满足甲方要求的前提下，乙方有优先续签的权利。</w:t>
      </w:r>
    </w:p>
    <w:p>
      <w:pPr>
        <w:pStyle w:val="51"/>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rPr>
        <w:t>若甲方</w:t>
      </w:r>
      <w:r>
        <w:rPr>
          <w:rFonts w:hint="eastAsia" w:ascii="宋体" w:hAnsi="宋体" w:eastAsia="宋体" w:cs="宋体"/>
          <w:sz w:val="24"/>
          <w:szCs w:val="24"/>
          <w:lang w:eastAsia="zh-CN"/>
        </w:rPr>
        <w:t>或甲方</w:t>
      </w:r>
      <w:r>
        <w:rPr>
          <w:rFonts w:hint="eastAsia" w:ascii="宋体" w:hAnsi="宋体" w:eastAsia="宋体" w:cs="宋体"/>
          <w:sz w:val="24"/>
          <w:szCs w:val="24"/>
        </w:rPr>
        <w:t>上级公司采购模式</w:t>
      </w:r>
      <w:r>
        <w:rPr>
          <w:rFonts w:hint="eastAsia" w:ascii="宋体" w:hAnsi="宋体" w:eastAsia="宋体" w:cs="宋体"/>
          <w:sz w:val="24"/>
          <w:szCs w:val="24"/>
          <w:lang w:eastAsia="zh-CN"/>
        </w:rPr>
        <w:t>或</w:t>
      </w:r>
      <w:r>
        <w:rPr>
          <w:rFonts w:hint="eastAsia" w:ascii="宋体" w:hAnsi="宋体" w:eastAsia="宋体" w:cs="宋体"/>
          <w:sz w:val="24"/>
          <w:szCs w:val="24"/>
        </w:rPr>
        <w:t>采购政策发生变化，本合同自然终止</w:t>
      </w:r>
      <w:r>
        <w:rPr>
          <w:rFonts w:hint="eastAsia" w:ascii="宋体" w:hAnsi="宋体" w:eastAsia="宋体" w:cs="宋体"/>
          <w:color w:val="000000" w:themeColor="text1"/>
          <w:sz w:val="24"/>
          <w:szCs w:val="24"/>
          <w14:textFill>
            <w14:solidFill>
              <w14:schemeClr w14:val="tx1"/>
            </w14:solidFill>
          </w14:textFill>
        </w:rPr>
        <w:t>。</w:t>
      </w:r>
    </w:p>
    <w:p>
      <w:pPr>
        <w:pStyle w:val="51"/>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cs="宋体"/>
          <w:b/>
          <w:color w:val="000000"/>
          <w:sz w:val="24"/>
          <w:szCs w:val="24"/>
          <w:lang w:eastAsia="zh-CN"/>
        </w:rPr>
        <w:t>一</w:t>
      </w:r>
      <w:r>
        <w:rPr>
          <w:rFonts w:hint="eastAsia" w:ascii="宋体" w:hAnsi="宋体" w:eastAsia="宋体" w:cs="宋体"/>
          <w:b/>
          <w:color w:val="000000"/>
          <w:sz w:val="24"/>
          <w:szCs w:val="24"/>
        </w:rPr>
        <w:t>、未尽事宜，经双方协商一致可另行补充约定。补充约定与附件均为本合同组成部分，与本合同具有同等法律效力。</w:t>
      </w:r>
    </w:p>
    <w:p>
      <w:pPr>
        <w:keepNext w:val="0"/>
        <w:keepLines w:val="0"/>
        <w:pageBreakBefore w:val="0"/>
        <w:tabs>
          <w:tab w:val="left" w:pos="1918"/>
        </w:tabs>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sz w:val="24"/>
          <w:szCs w:val="24"/>
        </w:rPr>
      </w:pPr>
      <w:r>
        <w:rPr>
          <w:rFonts w:hint="eastAsia" w:ascii="宋体" w:hAnsi="宋体" w:eastAsia="宋体" w:cs="宋体"/>
          <w:b/>
          <w:color w:val="000000"/>
          <w:sz w:val="24"/>
          <w:szCs w:val="24"/>
        </w:rPr>
        <w:t>十</w:t>
      </w:r>
      <w:r>
        <w:rPr>
          <w:rFonts w:hint="eastAsia" w:ascii="宋体" w:hAnsi="宋体" w:cs="宋体"/>
          <w:b/>
          <w:color w:val="000000"/>
          <w:sz w:val="24"/>
          <w:szCs w:val="24"/>
          <w:lang w:eastAsia="zh-CN"/>
        </w:rPr>
        <w:t>二</w:t>
      </w:r>
      <w:r>
        <w:rPr>
          <w:rFonts w:hint="eastAsia" w:ascii="宋体" w:hAnsi="宋体" w:eastAsia="宋体" w:cs="宋体"/>
          <w:b/>
          <w:color w:val="000000"/>
          <w:sz w:val="24"/>
          <w:szCs w:val="24"/>
        </w:rPr>
        <w:t>、</w:t>
      </w:r>
      <w:r>
        <w:rPr>
          <w:rFonts w:hint="eastAsia" w:ascii="宋体" w:hAnsi="宋体" w:eastAsia="宋体" w:cs="宋体"/>
          <w:b/>
          <w:sz w:val="24"/>
          <w:szCs w:val="24"/>
        </w:rPr>
        <w:t>合同有效期：</w:t>
      </w:r>
      <w:r>
        <w:rPr>
          <w:rFonts w:hint="eastAsia" w:ascii="宋体" w:hAnsi="宋体" w:eastAsia="宋体" w:cs="宋体"/>
          <w:sz w:val="24"/>
          <w:szCs w:val="24"/>
        </w:rPr>
        <w:t>自</w:t>
      </w:r>
      <w:r>
        <w:rPr>
          <w:rFonts w:hint="eastAsia" w:ascii="宋体" w:hAnsi="宋体" w:cs="宋体"/>
          <w:sz w:val="24"/>
          <w:szCs w:val="24"/>
          <w:lang w:val="en-US" w:eastAsia="zh-CN"/>
        </w:rPr>
        <w:t>2022</w:t>
      </w:r>
      <w:r>
        <w:rPr>
          <w:rFonts w:hint="eastAsia" w:ascii="宋体" w:hAnsi="宋体" w:eastAsia="宋体" w:cs="宋体"/>
          <w:sz w:val="24"/>
          <w:szCs w:val="24"/>
        </w:rPr>
        <w:t>年  月  日起至</w:t>
      </w:r>
      <w:r>
        <w:rPr>
          <w:rFonts w:hint="eastAsia" w:ascii="宋体" w:hAnsi="宋体" w:cs="宋体"/>
          <w:sz w:val="24"/>
          <w:szCs w:val="24"/>
          <w:lang w:val="en-US" w:eastAsia="zh-CN"/>
        </w:rPr>
        <w:t>2023</w:t>
      </w:r>
      <w:r>
        <w:rPr>
          <w:rFonts w:hint="eastAsia" w:ascii="宋体" w:hAnsi="宋体" w:eastAsia="宋体" w:cs="宋体"/>
          <w:sz w:val="24"/>
          <w:szCs w:val="24"/>
        </w:rPr>
        <w:t>年  月  日。</w:t>
      </w:r>
    </w:p>
    <w:p>
      <w:pPr>
        <w:pStyle w:val="51"/>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color w:val="000000"/>
          <w:kern w:val="0"/>
          <w:sz w:val="24"/>
          <w:szCs w:val="24"/>
        </w:rPr>
      </w:pPr>
      <w:r>
        <w:rPr>
          <w:rFonts w:hint="eastAsia" w:ascii="宋体" w:hAnsi="宋体" w:eastAsia="宋体" w:cs="宋体"/>
          <w:b/>
          <w:color w:val="000000"/>
          <w:sz w:val="24"/>
          <w:szCs w:val="24"/>
        </w:rPr>
        <w:t>十</w:t>
      </w:r>
      <w:r>
        <w:rPr>
          <w:rFonts w:hint="eastAsia" w:ascii="宋体" w:hAnsi="宋体" w:cs="宋体"/>
          <w:b/>
          <w:color w:val="000000"/>
          <w:sz w:val="24"/>
          <w:szCs w:val="24"/>
          <w:lang w:eastAsia="zh-CN"/>
        </w:rPr>
        <w:t>三</w:t>
      </w:r>
      <w:r>
        <w:rPr>
          <w:rFonts w:hint="eastAsia" w:ascii="宋体" w:hAnsi="宋体" w:eastAsia="宋体" w:cs="宋体"/>
          <w:b/>
          <w:color w:val="000000"/>
          <w:sz w:val="24"/>
          <w:szCs w:val="24"/>
        </w:rPr>
        <w:t>、本合同自甲乙双方签字盖章之日起生效。本合同及附件</w:t>
      </w:r>
      <w:r>
        <w:rPr>
          <w:rFonts w:hint="eastAsia" w:ascii="宋体" w:hAnsi="宋体" w:eastAsia="宋体" w:cs="宋体"/>
          <w:b/>
          <w:color w:val="000000" w:themeColor="text1"/>
          <w:sz w:val="24"/>
          <w:szCs w:val="24"/>
          <w14:textFill>
            <w14:solidFill>
              <w14:schemeClr w14:val="tx1"/>
            </w14:solidFill>
          </w14:textFill>
        </w:rPr>
        <w:t>一式</w:t>
      </w:r>
      <w:r>
        <w:rPr>
          <w:rFonts w:hint="eastAsia" w:ascii="宋体" w:hAnsi="宋体" w:eastAsia="宋体" w:cs="宋体"/>
          <w:b/>
          <w:color w:val="000000" w:themeColor="text1"/>
          <w:sz w:val="24"/>
          <w:szCs w:val="24"/>
          <w:u w:val="single"/>
          <w14:textFill>
            <w14:solidFill>
              <w14:schemeClr w14:val="tx1"/>
            </w14:solidFill>
          </w14:textFill>
        </w:rPr>
        <w:t xml:space="preserve">伍 </w:t>
      </w:r>
      <w:r>
        <w:rPr>
          <w:rFonts w:hint="eastAsia" w:ascii="宋体" w:hAnsi="宋体" w:eastAsia="宋体" w:cs="宋体"/>
          <w:b/>
          <w:color w:val="000000" w:themeColor="text1"/>
          <w:sz w:val="24"/>
          <w:szCs w:val="24"/>
          <w14:textFill>
            <w14:solidFill>
              <w14:schemeClr w14:val="tx1"/>
            </w14:solidFill>
          </w14:textFill>
        </w:rPr>
        <w:t>份，甲方</w:t>
      </w:r>
      <w:r>
        <w:rPr>
          <w:rFonts w:hint="eastAsia" w:ascii="宋体" w:hAnsi="宋体" w:eastAsia="宋体" w:cs="宋体"/>
          <w:b/>
          <w:color w:val="000000" w:themeColor="text1"/>
          <w:sz w:val="24"/>
          <w:szCs w:val="24"/>
          <w:u w:val="single"/>
          <w14:textFill>
            <w14:solidFill>
              <w14:schemeClr w14:val="tx1"/>
            </w14:solidFill>
          </w14:textFill>
        </w:rPr>
        <w:t>叁</w:t>
      </w:r>
      <w:r>
        <w:rPr>
          <w:rFonts w:hint="eastAsia" w:ascii="宋体" w:hAnsi="宋体" w:eastAsia="宋体" w:cs="宋体"/>
          <w:b/>
          <w:color w:val="000000" w:themeColor="text1"/>
          <w:sz w:val="24"/>
          <w:szCs w:val="24"/>
          <w14:textFill>
            <w14:solidFill>
              <w14:schemeClr w14:val="tx1"/>
            </w14:solidFill>
          </w14:textFill>
        </w:rPr>
        <w:t>份，乙方</w:t>
      </w:r>
      <w:r>
        <w:rPr>
          <w:rFonts w:hint="eastAsia" w:ascii="宋体" w:hAnsi="宋体" w:eastAsia="宋体" w:cs="宋体"/>
          <w:b/>
          <w:color w:val="000000" w:themeColor="text1"/>
          <w:sz w:val="24"/>
          <w:szCs w:val="24"/>
          <w:u w:val="single"/>
          <w14:textFill>
            <w14:solidFill>
              <w14:schemeClr w14:val="tx1"/>
            </w14:solidFill>
          </w14:textFill>
        </w:rPr>
        <w:t>贰</w:t>
      </w:r>
      <w:r>
        <w:rPr>
          <w:rFonts w:hint="eastAsia" w:ascii="宋体" w:hAnsi="宋体" w:eastAsia="宋体" w:cs="宋体"/>
          <w:b/>
          <w:color w:val="000000" w:themeColor="text1"/>
          <w:sz w:val="24"/>
          <w:szCs w:val="24"/>
          <w14:textFill>
            <w14:solidFill>
              <w14:schemeClr w14:val="tx1"/>
            </w14:solidFill>
          </w14:textFill>
        </w:rPr>
        <w:t>份，具有同等法律效力。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甲方：                                乙方：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或授权委托人：                        或授权委托人：</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签订日期：2022年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sectPr>
      <w:pgSz w:w="11906" w:h="16838"/>
      <w:pgMar w:top="1531" w:right="130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sdt>
      <w:sdtPr>
        <w:rPr>
          <w:rFonts w:hint="default"/>
          <w:lang w:val="en-US"/>
        </w:rPr>
        <w:id w:val="-526638612"/>
        <w:docPartObj>
          <w:docPartGallery w:val="autotext"/>
        </w:docPartObj>
      </w:sdtPr>
      <w:sdtEndPr>
        <w:rPr>
          <w:rFonts w:hint="default"/>
          <w:lang w:val="en-US"/>
        </w:rPr>
      </w:sdtEndPr>
      <w:sdtContent/>
    </w:sdt>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VmNjY5Y2MyYTIxYzc0NGFmNDM1ZmNlMTQyMzEifQ=="/>
  </w:docVars>
  <w:rsids>
    <w:rsidRoot w:val="00EE31A6"/>
    <w:rsid w:val="00042C74"/>
    <w:rsid w:val="00045F24"/>
    <w:rsid w:val="0006611D"/>
    <w:rsid w:val="00071901"/>
    <w:rsid w:val="00092DEE"/>
    <w:rsid w:val="000C1177"/>
    <w:rsid w:val="000D2747"/>
    <w:rsid w:val="000D2BA9"/>
    <w:rsid w:val="000D6822"/>
    <w:rsid w:val="000E4D7B"/>
    <w:rsid w:val="00113AC3"/>
    <w:rsid w:val="0012110E"/>
    <w:rsid w:val="00124A51"/>
    <w:rsid w:val="00153CD1"/>
    <w:rsid w:val="001577F6"/>
    <w:rsid w:val="00167F21"/>
    <w:rsid w:val="00171B0E"/>
    <w:rsid w:val="0018032F"/>
    <w:rsid w:val="00181E63"/>
    <w:rsid w:val="00191767"/>
    <w:rsid w:val="001B58AE"/>
    <w:rsid w:val="001D1C4F"/>
    <w:rsid w:val="001D4952"/>
    <w:rsid w:val="001E64A3"/>
    <w:rsid w:val="001F4F24"/>
    <w:rsid w:val="00201B4D"/>
    <w:rsid w:val="00210467"/>
    <w:rsid w:val="0023065B"/>
    <w:rsid w:val="00235A55"/>
    <w:rsid w:val="00237B8B"/>
    <w:rsid w:val="00241AFE"/>
    <w:rsid w:val="00250526"/>
    <w:rsid w:val="00282D21"/>
    <w:rsid w:val="00286744"/>
    <w:rsid w:val="00292B9F"/>
    <w:rsid w:val="002971B9"/>
    <w:rsid w:val="002A6B89"/>
    <w:rsid w:val="002F3BA5"/>
    <w:rsid w:val="00300500"/>
    <w:rsid w:val="00315599"/>
    <w:rsid w:val="00322FC7"/>
    <w:rsid w:val="00335D43"/>
    <w:rsid w:val="00357B53"/>
    <w:rsid w:val="00366F55"/>
    <w:rsid w:val="003712BA"/>
    <w:rsid w:val="00391F5A"/>
    <w:rsid w:val="003C577A"/>
    <w:rsid w:val="003F300F"/>
    <w:rsid w:val="00413196"/>
    <w:rsid w:val="00414FB7"/>
    <w:rsid w:val="00436020"/>
    <w:rsid w:val="00437419"/>
    <w:rsid w:val="00460FAA"/>
    <w:rsid w:val="00464524"/>
    <w:rsid w:val="00474E1E"/>
    <w:rsid w:val="004A1F67"/>
    <w:rsid w:val="004D2C86"/>
    <w:rsid w:val="004F7ACB"/>
    <w:rsid w:val="00501675"/>
    <w:rsid w:val="0050624E"/>
    <w:rsid w:val="00506514"/>
    <w:rsid w:val="00562F8D"/>
    <w:rsid w:val="00563C9A"/>
    <w:rsid w:val="005641BB"/>
    <w:rsid w:val="00582100"/>
    <w:rsid w:val="00583BD2"/>
    <w:rsid w:val="005935BD"/>
    <w:rsid w:val="005A3A39"/>
    <w:rsid w:val="005E0ACE"/>
    <w:rsid w:val="0061747A"/>
    <w:rsid w:val="006428A7"/>
    <w:rsid w:val="00643484"/>
    <w:rsid w:val="00661EF4"/>
    <w:rsid w:val="006758C7"/>
    <w:rsid w:val="006C4A2B"/>
    <w:rsid w:val="006E162C"/>
    <w:rsid w:val="007179B2"/>
    <w:rsid w:val="00722ED2"/>
    <w:rsid w:val="00741FE3"/>
    <w:rsid w:val="0076603B"/>
    <w:rsid w:val="007B2BD1"/>
    <w:rsid w:val="007B509C"/>
    <w:rsid w:val="007C547D"/>
    <w:rsid w:val="007C7AAA"/>
    <w:rsid w:val="007D22E7"/>
    <w:rsid w:val="00870C42"/>
    <w:rsid w:val="00876769"/>
    <w:rsid w:val="0089401B"/>
    <w:rsid w:val="008C28F9"/>
    <w:rsid w:val="008E2A52"/>
    <w:rsid w:val="00904AB6"/>
    <w:rsid w:val="0090520E"/>
    <w:rsid w:val="0094683A"/>
    <w:rsid w:val="00957371"/>
    <w:rsid w:val="00960363"/>
    <w:rsid w:val="0097276A"/>
    <w:rsid w:val="00983B84"/>
    <w:rsid w:val="00985D78"/>
    <w:rsid w:val="00997807"/>
    <w:rsid w:val="009B1002"/>
    <w:rsid w:val="009B17DC"/>
    <w:rsid w:val="009C4A87"/>
    <w:rsid w:val="009D3017"/>
    <w:rsid w:val="009E424F"/>
    <w:rsid w:val="009F7177"/>
    <w:rsid w:val="00A0135F"/>
    <w:rsid w:val="00A05569"/>
    <w:rsid w:val="00A15084"/>
    <w:rsid w:val="00A34E78"/>
    <w:rsid w:val="00A43661"/>
    <w:rsid w:val="00A441B2"/>
    <w:rsid w:val="00A5139C"/>
    <w:rsid w:val="00A65705"/>
    <w:rsid w:val="00A77174"/>
    <w:rsid w:val="00A81137"/>
    <w:rsid w:val="00A8180B"/>
    <w:rsid w:val="00B07DE5"/>
    <w:rsid w:val="00B1071F"/>
    <w:rsid w:val="00B14738"/>
    <w:rsid w:val="00B23BE5"/>
    <w:rsid w:val="00B326E9"/>
    <w:rsid w:val="00B479D0"/>
    <w:rsid w:val="00B50409"/>
    <w:rsid w:val="00B80E91"/>
    <w:rsid w:val="00B81BB2"/>
    <w:rsid w:val="00B836B6"/>
    <w:rsid w:val="00BA24F9"/>
    <w:rsid w:val="00BA350D"/>
    <w:rsid w:val="00BB61D3"/>
    <w:rsid w:val="00BB670F"/>
    <w:rsid w:val="00BC1CA6"/>
    <w:rsid w:val="00BD347F"/>
    <w:rsid w:val="00BE0833"/>
    <w:rsid w:val="00BE499D"/>
    <w:rsid w:val="00BF0047"/>
    <w:rsid w:val="00BF1622"/>
    <w:rsid w:val="00C027E9"/>
    <w:rsid w:val="00C20C51"/>
    <w:rsid w:val="00C344A6"/>
    <w:rsid w:val="00C56276"/>
    <w:rsid w:val="00C57EDA"/>
    <w:rsid w:val="00C8739D"/>
    <w:rsid w:val="00C93F62"/>
    <w:rsid w:val="00CA6880"/>
    <w:rsid w:val="00CC7B0C"/>
    <w:rsid w:val="00CD6FD3"/>
    <w:rsid w:val="00D0531D"/>
    <w:rsid w:val="00D06410"/>
    <w:rsid w:val="00D2063E"/>
    <w:rsid w:val="00D20CC9"/>
    <w:rsid w:val="00D341E1"/>
    <w:rsid w:val="00D44D06"/>
    <w:rsid w:val="00D4656F"/>
    <w:rsid w:val="00D5723A"/>
    <w:rsid w:val="00D90BD6"/>
    <w:rsid w:val="00D90DE1"/>
    <w:rsid w:val="00DA7DF2"/>
    <w:rsid w:val="00DB5AD4"/>
    <w:rsid w:val="00DC76FE"/>
    <w:rsid w:val="00DD152F"/>
    <w:rsid w:val="00DD27B9"/>
    <w:rsid w:val="00DD7C59"/>
    <w:rsid w:val="00E208A6"/>
    <w:rsid w:val="00E23DB6"/>
    <w:rsid w:val="00E24146"/>
    <w:rsid w:val="00E269CD"/>
    <w:rsid w:val="00E44767"/>
    <w:rsid w:val="00E56E34"/>
    <w:rsid w:val="00E72CF9"/>
    <w:rsid w:val="00E93794"/>
    <w:rsid w:val="00E964E7"/>
    <w:rsid w:val="00EB047F"/>
    <w:rsid w:val="00EB4F4C"/>
    <w:rsid w:val="00EC50C9"/>
    <w:rsid w:val="00EE31A6"/>
    <w:rsid w:val="00EE44B1"/>
    <w:rsid w:val="00F12156"/>
    <w:rsid w:val="00F313DD"/>
    <w:rsid w:val="00F31C5B"/>
    <w:rsid w:val="00F76307"/>
    <w:rsid w:val="00FA2999"/>
    <w:rsid w:val="00FA4BEB"/>
    <w:rsid w:val="00FA4FA6"/>
    <w:rsid w:val="00FB2ADB"/>
    <w:rsid w:val="00FB6A5E"/>
    <w:rsid w:val="00FD19C4"/>
    <w:rsid w:val="00FF00C6"/>
    <w:rsid w:val="011C7319"/>
    <w:rsid w:val="01507B7E"/>
    <w:rsid w:val="015A677D"/>
    <w:rsid w:val="01AF24BE"/>
    <w:rsid w:val="02194EE3"/>
    <w:rsid w:val="024D5BF9"/>
    <w:rsid w:val="02D93194"/>
    <w:rsid w:val="03535EBE"/>
    <w:rsid w:val="03615650"/>
    <w:rsid w:val="046C12B8"/>
    <w:rsid w:val="04A056F5"/>
    <w:rsid w:val="05323F2D"/>
    <w:rsid w:val="062C36E3"/>
    <w:rsid w:val="06BE2B8D"/>
    <w:rsid w:val="072217C3"/>
    <w:rsid w:val="075B5D9D"/>
    <w:rsid w:val="079C408D"/>
    <w:rsid w:val="07EC2FF1"/>
    <w:rsid w:val="081B049F"/>
    <w:rsid w:val="082A56D7"/>
    <w:rsid w:val="087D3A94"/>
    <w:rsid w:val="088F5575"/>
    <w:rsid w:val="08BC3280"/>
    <w:rsid w:val="08CE42EF"/>
    <w:rsid w:val="08D86D45"/>
    <w:rsid w:val="08E07D79"/>
    <w:rsid w:val="091860E9"/>
    <w:rsid w:val="09795AD0"/>
    <w:rsid w:val="09937C6B"/>
    <w:rsid w:val="09CA0F5B"/>
    <w:rsid w:val="0A57101C"/>
    <w:rsid w:val="0A6A0ABF"/>
    <w:rsid w:val="0A853992"/>
    <w:rsid w:val="0B134487"/>
    <w:rsid w:val="0B3F1017"/>
    <w:rsid w:val="0B5E100D"/>
    <w:rsid w:val="0B7C6CF8"/>
    <w:rsid w:val="0BB33705"/>
    <w:rsid w:val="0BB9294D"/>
    <w:rsid w:val="0BD86651"/>
    <w:rsid w:val="0BE0299C"/>
    <w:rsid w:val="0C28219F"/>
    <w:rsid w:val="0C3C2068"/>
    <w:rsid w:val="0C3F10E3"/>
    <w:rsid w:val="0C3F7D74"/>
    <w:rsid w:val="0CCB0A5A"/>
    <w:rsid w:val="0CE72602"/>
    <w:rsid w:val="0CF10AE6"/>
    <w:rsid w:val="0D1564C5"/>
    <w:rsid w:val="0D5F0A68"/>
    <w:rsid w:val="0D657929"/>
    <w:rsid w:val="0DBE0DD6"/>
    <w:rsid w:val="0DC31AB0"/>
    <w:rsid w:val="0DE325EB"/>
    <w:rsid w:val="0E8819FF"/>
    <w:rsid w:val="0EA651E3"/>
    <w:rsid w:val="0ECC307F"/>
    <w:rsid w:val="0EDC4B97"/>
    <w:rsid w:val="0EE06B2A"/>
    <w:rsid w:val="0EFC1661"/>
    <w:rsid w:val="0F3330FE"/>
    <w:rsid w:val="106A2E85"/>
    <w:rsid w:val="1088339D"/>
    <w:rsid w:val="109220A6"/>
    <w:rsid w:val="10C8424B"/>
    <w:rsid w:val="10EC7A3B"/>
    <w:rsid w:val="116E2710"/>
    <w:rsid w:val="1178129C"/>
    <w:rsid w:val="11DA77BB"/>
    <w:rsid w:val="12040D82"/>
    <w:rsid w:val="121E7623"/>
    <w:rsid w:val="125657A1"/>
    <w:rsid w:val="12B24C82"/>
    <w:rsid w:val="12FF79B3"/>
    <w:rsid w:val="138C5E70"/>
    <w:rsid w:val="13D21C0B"/>
    <w:rsid w:val="13F06DA0"/>
    <w:rsid w:val="13F425BF"/>
    <w:rsid w:val="13FE5914"/>
    <w:rsid w:val="13FF3E41"/>
    <w:rsid w:val="1505519C"/>
    <w:rsid w:val="155936FE"/>
    <w:rsid w:val="161D0873"/>
    <w:rsid w:val="161E28D8"/>
    <w:rsid w:val="16210C1B"/>
    <w:rsid w:val="16481A19"/>
    <w:rsid w:val="16923472"/>
    <w:rsid w:val="16977C63"/>
    <w:rsid w:val="16DF3C0D"/>
    <w:rsid w:val="16FE3FF2"/>
    <w:rsid w:val="1707609C"/>
    <w:rsid w:val="179611DD"/>
    <w:rsid w:val="186B24C3"/>
    <w:rsid w:val="18B24FF6"/>
    <w:rsid w:val="19105F33"/>
    <w:rsid w:val="19185113"/>
    <w:rsid w:val="195A5C60"/>
    <w:rsid w:val="19715953"/>
    <w:rsid w:val="197D3D21"/>
    <w:rsid w:val="19AA7438"/>
    <w:rsid w:val="1AAD571D"/>
    <w:rsid w:val="1AE86458"/>
    <w:rsid w:val="1B2B3E9D"/>
    <w:rsid w:val="1B3D3AB2"/>
    <w:rsid w:val="1BF25D1E"/>
    <w:rsid w:val="1BF65F25"/>
    <w:rsid w:val="1CF7487D"/>
    <w:rsid w:val="1D210A3A"/>
    <w:rsid w:val="1D4C7FE7"/>
    <w:rsid w:val="1D7B6985"/>
    <w:rsid w:val="1DA862F8"/>
    <w:rsid w:val="1DC7777B"/>
    <w:rsid w:val="1E183818"/>
    <w:rsid w:val="1E1B6823"/>
    <w:rsid w:val="1E29713E"/>
    <w:rsid w:val="1EBF08E3"/>
    <w:rsid w:val="1EC75490"/>
    <w:rsid w:val="1F574B03"/>
    <w:rsid w:val="1F713A52"/>
    <w:rsid w:val="1F752B76"/>
    <w:rsid w:val="20192E63"/>
    <w:rsid w:val="206E728B"/>
    <w:rsid w:val="20F8595E"/>
    <w:rsid w:val="21952268"/>
    <w:rsid w:val="21C92D57"/>
    <w:rsid w:val="222914B2"/>
    <w:rsid w:val="22B61C24"/>
    <w:rsid w:val="23241284"/>
    <w:rsid w:val="23350490"/>
    <w:rsid w:val="23595652"/>
    <w:rsid w:val="238A05ED"/>
    <w:rsid w:val="24112A1A"/>
    <w:rsid w:val="24251A3A"/>
    <w:rsid w:val="244A64F9"/>
    <w:rsid w:val="24572FDD"/>
    <w:rsid w:val="251B1E25"/>
    <w:rsid w:val="25437BD9"/>
    <w:rsid w:val="256B6C42"/>
    <w:rsid w:val="25F3577A"/>
    <w:rsid w:val="261B509F"/>
    <w:rsid w:val="26C164DB"/>
    <w:rsid w:val="271D406B"/>
    <w:rsid w:val="272C55D7"/>
    <w:rsid w:val="276E51C4"/>
    <w:rsid w:val="2792280A"/>
    <w:rsid w:val="27DB64B9"/>
    <w:rsid w:val="29F8294B"/>
    <w:rsid w:val="2A5C28C6"/>
    <w:rsid w:val="2AE20C14"/>
    <w:rsid w:val="2C175F94"/>
    <w:rsid w:val="2C36477D"/>
    <w:rsid w:val="2C515CF9"/>
    <w:rsid w:val="2C9847C4"/>
    <w:rsid w:val="2D1E1DBD"/>
    <w:rsid w:val="2D883D8E"/>
    <w:rsid w:val="2D9A029F"/>
    <w:rsid w:val="2E6A6E39"/>
    <w:rsid w:val="2E705ED6"/>
    <w:rsid w:val="2EB92F27"/>
    <w:rsid w:val="2F997C87"/>
    <w:rsid w:val="2FB2761E"/>
    <w:rsid w:val="303555A9"/>
    <w:rsid w:val="30432F3B"/>
    <w:rsid w:val="30686669"/>
    <w:rsid w:val="306F53CA"/>
    <w:rsid w:val="307D4CB2"/>
    <w:rsid w:val="30B973B1"/>
    <w:rsid w:val="318C5996"/>
    <w:rsid w:val="31F462C5"/>
    <w:rsid w:val="333948D8"/>
    <w:rsid w:val="33611BEF"/>
    <w:rsid w:val="337572F0"/>
    <w:rsid w:val="33DF14DE"/>
    <w:rsid w:val="34840B18"/>
    <w:rsid w:val="34D66156"/>
    <w:rsid w:val="355A3F2C"/>
    <w:rsid w:val="35CA4121"/>
    <w:rsid w:val="368D6BC7"/>
    <w:rsid w:val="37C709C2"/>
    <w:rsid w:val="37FA3763"/>
    <w:rsid w:val="37FF2EE3"/>
    <w:rsid w:val="3832382B"/>
    <w:rsid w:val="387463B2"/>
    <w:rsid w:val="398D4FCD"/>
    <w:rsid w:val="3A557B1D"/>
    <w:rsid w:val="3B9B040C"/>
    <w:rsid w:val="3BAE0C16"/>
    <w:rsid w:val="3BDA2D3B"/>
    <w:rsid w:val="3C671E5A"/>
    <w:rsid w:val="3CD74AC2"/>
    <w:rsid w:val="3D852881"/>
    <w:rsid w:val="3DD3219D"/>
    <w:rsid w:val="3DE27C3B"/>
    <w:rsid w:val="3DE9514C"/>
    <w:rsid w:val="3E6029F3"/>
    <w:rsid w:val="3E882CC1"/>
    <w:rsid w:val="3ED86B76"/>
    <w:rsid w:val="3F115EC5"/>
    <w:rsid w:val="3F446ADE"/>
    <w:rsid w:val="3F6F5C85"/>
    <w:rsid w:val="3F747F67"/>
    <w:rsid w:val="3F8A64BB"/>
    <w:rsid w:val="3F96687C"/>
    <w:rsid w:val="3F9F0F2F"/>
    <w:rsid w:val="3FD339BE"/>
    <w:rsid w:val="3FF2143D"/>
    <w:rsid w:val="4078746A"/>
    <w:rsid w:val="40A857C3"/>
    <w:rsid w:val="40B85769"/>
    <w:rsid w:val="41D51BBB"/>
    <w:rsid w:val="41EF2605"/>
    <w:rsid w:val="42232562"/>
    <w:rsid w:val="42864D18"/>
    <w:rsid w:val="435315AF"/>
    <w:rsid w:val="43BB76DD"/>
    <w:rsid w:val="440E4AAE"/>
    <w:rsid w:val="443B5F5B"/>
    <w:rsid w:val="4495241B"/>
    <w:rsid w:val="44B066C8"/>
    <w:rsid w:val="44E52794"/>
    <w:rsid w:val="45051149"/>
    <w:rsid w:val="45455964"/>
    <w:rsid w:val="45637CF9"/>
    <w:rsid w:val="45B66024"/>
    <w:rsid w:val="45B727C8"/>
    <w:rsid w:val="45C300A8"/>
    <w:rsid w:val="45FA1E40"/>
    <w:rsid w:val="46366A55"/>
    <w:rsid w:val="46C425D3"/>
    <w:rsid w:val="46EA64F4"/>
    <w:rsid w:val="46F50674"/>
    <w:rsid w:val="47665118"/>
    <w:rsid w:val="480855C6"/>
    <w:rsid w:val="481F37D7"/>
    <w:rsid w:val="483E7E42"/>
    <w:rsid w:val="48D464E1"/>
    <w:rsid w:val="49247038"/>
    <w:rsid w:val="49F24226"/>
    <w:rsid w:val="4A43769A"/>
    <w:rsid w:val="4A73268C"/>
    <w:rsid w:val="4A751A17"/>
    <w:rsid w:val="4AC5484B"/>
    <w:rsid w:val="4AC565F9"/>
    <w:rsid w:val="4B252A64"/>
    <w:rsid w:val="4C1824F3"/>
    <w:rsid w:val="4C1C0394"/>
    <w:rsid w:val="4C2B6930"/>
    <w:rsid w:val="4D085A60"/>
    <w:rsid w:val="4E2C7C74"/>
    <w:rsid w:val="4EC744E7"/>
    <w:rsid w:val="4EE56077"/>
    <w:rsid w:val="4FB4151F"/>
    <w:rsid w:val="502072ED"/>
    <w:rsid w:val="502E0A20"/>
    <w:rsid w:val="50742A41"/>
    <w:rsid w:val="50812FC2"/>
    <w:rsid w:val="50BD23A4"/>
    <w:rsid w:val="510078F8"/>
    <w:rsid w:val="512E2F4A"/>
    <w:rsid w:val="519008C5"/>
    <w:rsid w:val="51D12E76"/>
    <w:rsid w:val="51DC4954"/>
    <w:rsid w:val="528011C4"/>
    <w:rsid w:val="52E32912"/>
    <w:rsid w:val="52F45CCD"/>
    <w:rsid w:val="534B49F5"/>
    <w:rsid w:val="535A46B5"/>
    <w:rsid w:val="53AF2A02"/>
    <w:rsid w:val="53C86EC3"/>
    <w:rsid w:val="53DC0334"/>
    <w:rsid w:val="544A7C5C"/>
    <w:rsid w:val="545729B8"/>
    <w:rsid w:val="549459BA"/>
    <w:rsid w:val="54A74AA6"/>
    <w:rsid w:val="54FC6198"/>
    <w:rsid w:val="55530A68"/>
    <w:rsid w:val="55D32512"/>
    <w:rsid w:val="55DB4F23"/>
    <w:rsid w:val="55F97F2A"/>
    <w:rsid w:val="55FB41D3"/>
    <w:rsid w:val="562B0AA0"/>
    <w:rsid w:val="56332CEE"/>
    <w:rsid w:val="568D0A6A"/>
    <w:rsid w:val="56EC40CF"/>
    <w:rsid w:val="572604B0"/>
    <w:rsid w:val="572D17AE"/>
    <w:rsid w:val="57E014E2"/>
    <w:rsid w:val="5810000A"/>
    <w:rsid w:val="581E2D95"/>
    <w:rsid w:val="590457A6"/>
    <w:rsid w:val="592D0015"/>
    <w:rsid w:val="5A0A5DD6"/>
    <w:rsid w:val="5A2C476A"/>
    <w:rsid w:val="5A725CB1"/>
    <w:rsid w:val="5A807449"/>
    <w:rsid w:val="5AD819D8"/>
    <w:rsid w:val="5B29030A"/>
    <w:rsid w:val="5B4C1122"/>
    <w:rsid w:val="5BB23C5A"/>
    <w:rsid w:val="5BB7397F"/>
    <w:rsid w:val="5BC020E1"/>
    <w:rsid w:val="5BD81963"/>
    <w:rsid w:val="5C037537"/>
    <w:rsid w:val="5C8005D2"/>
    <w:rsid w:val="5D245401"/>
    <w:rsid w:val="5D490C55"/>
    <w:rsid w:val="5D891EF2"/>
    <w:rsid w:val="5DAC4478"/>
    <w:rsid w:val="5DB4056E"/>
    <w:rsid w:val="5E053485"/>
    <w:rsid w:val="5ED33CA5"/>
    <w:rsid w:val="5EDA4335"/>
    <w:rsid w:val="5F1368C0"/>
    <w:rsid w:val="605F0F68"/>
    <w:rsid w:val="613316BC"/>
    <w:rsid w:val="62396BD2"/>
    <w:rsid w:val="62FB30A8"/>
    <w:rsid w:val="637F5A87"/>
    <w:rsid w:val="64161189"/>
    <w:rsid w:val="642613C5"/>
    <w:rsid w:val="648A3EF5"/>
    <w:rsid w:val="64D60EAC"/>
    <w:rsid w:val="65270058"/>
    <w:rsid w:val="652C4A26"/>
    <w:rsid w:val="656A1E1F"/>
    <w:rsid w:val="65E0786C"/>
    <w:rsid w:val="65FA16B3"/>
    <w:rsid w:val="664B0BAB"/>
    <w:rsid w:val="66BE6D7B"/>
    <w:rsid w:val="67486190"/>
    <w:rsid w:val="676F466E"/>
    <w:rsid w:val="68075BCD"/>
    <w:rsid w:val="682D2750"/>
    <w:rsid w:val="68F94BFF"/>
    <w:rsid w:val="69B813AB"/>
    <w:rsid w:val="69FC67EC"/>
    <w:rsid w:val="6A674B7F"/>
    <w:rsid w:val="6A902B74"/>
    <w:rsid w:val="6A9E374E"/>
    <w:rsid w:val="6C0F2499"/>
    <w:rsid w:val="6C354BBE"/>
    <w:rsid w:val="6CC62476"/>
    <w:rsid w:val="6D2C5B29"/>
    <w:rsid w:val="6D8F68C7"/>
    <w:rsid w:val="6E024C24"/>
    <w:rsid w:val="6E3C0CA4"/>
    <w:rsid w:val="6E4F1F9A"/>
    <w:rsid w:val="6F3F474F"/>
    <w:rsid w:val="6F6F0334"/>
    <w:rsid w:val="6FBA36A3"/>
    <w:rsid w:val="709F020F"/>
    <w:rsid w:val="70E47430"/>
    <w:rsid w:val="70FD45B3"/>
    <w:rsid w:val="71454DFD"/>
    <w:rsid w:val="72364889"/>
    <w:rsid w:val="729A73FF"/>
    <w:rsid w:val="736E5F91"/>
    <w:rsid w:val="737F0D58"/>
    <w:rsid w:val="7389702D"/>
    <w:rsid w:val="73943F3E"/>
    <w:rsid w:val="7395275D"/>
    <w:rsid w:val="73C24EBB"/>
    <w:rsid w:val="73CF22AA"/>
    <w:rsid w:val="73E4301A"/>
    <w:rsid w:val="7427176C"/>
    <w:rsid w:val="756021F7"/>
    <w:rsid w:val="75821625"/>
    <w:rsid w:val="75847386"/>
    <w:rsid w:val="759F6955"/>
    <w:rsid w:val="75A37ADB"/>
    <w:rsid w:val="75D73045"/>
    <w:rsid w:val="765933F9"/>
    <w:rsid w:val="766865BB"/>
    <w:rsid w:val="76E02E32"/>
    <w:rsid w:val="777330AB"/>
    <w:rsid w:val="7787264C"/>
    <w:rsid w:val="77E6391C"/>
    <w:rsid w:val="77FA7033"/>
    <w:rsid w:val="78236599"/>
    <w:rsid w:val="78B8676E"/>
    <w:rsid w:val="78DF01F8"/>
    <w:rsid w:val="78F3044B"/>
    <w:rsid w:val="79C46D93"/>
    <w:rsid w:val="7A0C4E78"/>
    <w:rsid w:val="7A7B26AD"/>
    <w:rsid w:val="7A8E4367"/>
    <w:rsid w:val="7AE53E87"/>
    <w:rsid w:val="7B6E3FBF"/>
    <w:rsid w:val="7B914AFE"/>
    <w:rsid w:val="7B922A1F"/>
    <w:rsid w:val="7BFC1BE4"/>
    <w:rsid w:val="7C4A409F"/>
    <w:rsid w:val="7CF76C02"/>
    <w:rsid w:val="7D750DD3"/>
    <w:rsid w:val="7D792EC6"/>
    <w:rsid w:val="7D947155"/>
    <w:rsid w:val="7DC36D45"/>
    <w:rsid w:val="7DE60785"/>
    <w:rsid w:val="7E002C38"/>
    <w:rsid w:val="7E0155BF"/>
    <w:rsid w:val="7E4B06AF"/>
    <w:rsid w:val="7E5A6996"/>
    <w:rsid w:val="7E644F17"/>
    <w:rsid w:val="7F17257D"/>
    <w:rsid w:val="7F203F81"/>
    <w:rsid w:val="7F871281"/>
    <w:rsid w:val="7FD45BF8"/>
    <w:rsid w:val="7FE45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6"/>
    <w:qFormat/>
    <w:uiPriority w:val="0"/>
    <w:pPr>
      <w:keepNext/>
      <w:keepLines/>
      <w:spacing w:before="260" w:after="260" w:line="416" w:lineRule="auto"/>
      <w:outlineLvl w:val="1"/>
    </w:pPr>
    <w:rPr>
      <w:rFonts w:ascii="Arial Narrow" w:hAnsi="Arial Narrow"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8"/>
    <w:basedOn w:val="1"/>
    <w:next w:val="1"/>
    <w:link w:val="34"/>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annotation text"/>
    <w:basedOn w:val="1"/>
    <w:link w:val="43"/>
    <w:semiHidden/>
    <w:unhideWhenUsed/>
    <w:qFormat/>
    <w:uiPriority w:val="99"/>
    <w:pPr>
      <w:jc w:val="left"/>
    </w:pPr>
  </w:style>
  <w:style w:type="paragraph" w:styleId="8">
    <w:name w:val="Body Text"/>
    <w:basedOn w:val="1"/>
    <w:next w:val="1"/>
    <w:link w:val="30"/>
    <w:semiHidden/>
    <w:unhideWhenUsed/>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basedOn w:val="1"/>
    <w:link w:val="29"/>
    <w:qFormat/>
    <w:uiPriority w:val="0"/>
    <w:rPr>
      <w:rFonts w:hint="eastAsia" w:ascii="宋体" w:hAnsi="Courier New" w:eastAsia="仿宋_GB2312"/>
      <w:szCs w:val="20"/>
    </w:rPr>
  </w:style>
  <w:style w:type="paragraph" w:styleId="11">
    <w:name w:val="Balloon Text"/>
    <w:basedOn w:val="1"/>
    <w:link w:val="42"/>
    <w:semiHidden/>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next w:val="12"/>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44"/>
    <w:semiHidden/>
    <w:unhideWhenUsed/>
    <w:qFormat/>
    <w:uiPriority w:val="99"/>
    <w:rPr>
      <w:b/>
      <w:bCs/>
    </w:rPr>
  </w:style>
  <w:style w:type="paragraph" w:styleId="17">
    <w:name w:val="Body Text First Indent"/>
    <w:basedOn w:val="8"/>
    <w:link w:val="32"/>
    <w:qFormat/>
    <w:uiPriority w:val="0"/>
    <w:pPr>
      <w:ind w:firstLine="420" w:firstLineChars="100"/>
    </w:pPr>
    <w:rPr>
      <w:rFonts w:hAnsi="宋体" w:asciiTheme="minorHAnsi" w:eastAsiaTheme="minorEastAsia" w:cstheme="minorBidi"/>
      <w:color w:val="FF0000"/>
      <w:szCs w:val="22"/>
    </w:rPr>
  </w:style>
  <w:style w:type="paragraph" w:styleId="18">
    <w:name w:val="Body Text First Indent 2"/>
    <w:basedOn w:val="9"/>
    <w:qFormat/>
    <w:uiPriority w:val="0"/>
    <w:pPr>
      <w:autoSpaceDE w:val="0"/>
      <w:autoSpaceDN w:val="0"/>
      <w:adjustRightInd w:val="0"/>
      <w:spacing w:after="0"/>
      <w:ind w:left="359" w:leftChars="171" w:firstLine="420" w:firstLineChars="187"/>
      <w:jc w:val="left"/>
    </w:pPr>
    <w:rPr>
      <w:rFonts w:ascii="Calibri" w:hAnsi="Calibri"/>
      <w:kern w:val="0"/>
      <w:sz w:val="28"/>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customStyle="1" w:styleId="26">
    <w:name w:val="标题 2 Char"/>
    <w:basedOn w:val="21"/>
    <w:link w:val="3"/>
    <w:qFormat/>
    <w:uiPriority w:val="0"/>
    <w:rPr>
      <w:rFonts w:ascii="Arial Narrow" w:hAnsi="Arial Narrow" w:eastAsia="黑体" w:cs="Times New Roman"/>
      <w:b/>
      <w:bCs/>
      <w:sz w:val="32"/>
      <w:szCs w:val="32"/>
    </w:rPr>
  </w:style>
  <w:style w:type="character" w:customStyle="1" w:styleId="27">
    <w:name w:val="标题 3 Char"/>
    <w:basedOn w:val="21"/>
    <w:link w:val="4"/>
    <w:qFormat/>
    <w:uiPriority w:val="0"/>
    <w:rPr>
      <w:rFonts w:ascii="Times New Roman" w:hAnsi="Times New Roman" w:eastAsia="宋体" w:cs="Times New Roman"/>
      <w:b/>
      <w:bCs/>
      <w:sz w:val="32"/>
      <w:szCs w:val="32"/>
    </w:rPr>
  </w:style>
  <w:style w:type="paragraph" w:customStyle="1" w:styleId="28">
    <w:name w:val="Absatz2AL"/>
    <w:basedOn w:val="8"/>
    <w:next w:val="1"/>
    <w:qFormat/>
    <w:uiPriority w:val="0"/>
    <w:pPr>
      <w:widowControl/>
      <w:overflowPunct w:val="0"/>
      <w:autoSpaceDE w:val="0"/>
      <w:autoSpaceDN w:val="0"/>
      <w:adjustRightInd w:val="0"/>
      <w:spacing w:after="0"/>
      <w:textAlignment w:val="baseline"/>
    </w:pPr>
    <w:rPr>
      <w:rFonts w:eastAsia="楷体_GB2312"/>
      <w:kern w:val="0"/>
      <w:sz w:val="24"/>
      <w:szCs w:val="20"/>
      <w:lang w:val="de-DE"/>
    </w:rPr>
  </w:style>
  <w:style w:type="character" w:customStyle="1" w:styleId="29">
    <w:name w:val="纯文本 Char"/>
    <w:basedOn w:val="21"/>
    <w:link w:val="10"/>
    <w:qFormat/>
    <w:uiPriority w:val="0"/>
    <w:rPr>
      <w:rFonts w:ascii="宋体" w:hAnsi="Courier New" w:eastAsia="仿宋_GB2312" w:cs="Times New Roman"/>
      <w:szCs w:val="20"/>
    </w:rPr>
  </w:style>
  <w:style w:type="character" w:customStyle="1" w:styleId="30">
    <w:name w:val="正文文本 Char"/>
    <w:basedOn w:val="21"/>
    <w:link w:val="8"/>
    <w:semiHidden/>
    <w:qFormat/>
    <w:uiPriority w:val="99"/>
    <w:rPr>
      <w:rFonts w:ascii="Times New Roman" w:hAnsi="Times New Roman" w:eastAsia="宋体" w:cs="Times New Roman"/>
      <w:szCs w:val="24"/>
    </w:rPr>
  </w:style>
  <w:style w:type="paragraph" w:styleId="31">
    <w:name w:val="List Paragraph"/>
    <w:basedOn w:val="1"/>
    <w:qFormat/>
    <w:uiPriority w:val="34"/>
    <w:pPr>
      <w:ind w:firstLine="420" w:firstLineChars="200"/>
    </w:pPr>
  </w:style>
  <w:style w:type="character" w:customStyle="1" w:styleId="32">
    <w:name w:val="正文首行缩进 Char"/>
    <w:link w:val="17"/>
    <w:qFormat/>
    <w:uiPriority w:val="0"/>
    <w:rPr>
      <w:rFonts w:hAnsi="宋体"/>
      <w:color w:val="FF0000"/>
    </w:rPr>
  </w:style>
  <w:style w:type="character" w:customStyle="1" w:styleId="33">
    <w:name w:val="正文首行缩进 Char1"/>
    <w:basedOn w:val="30"/>
    <w:semiHidden/>
    <w:qFormat/>
    <w:uiPriority w:val="99"/>
    <w:rPr>
      <w:rFonts w:ascii="Times New Roman" w:hAnsi="Times New Roman" w:eastAsia="宋体" w:cs="Times New Roman"/>
      <w:szCs w:val="24"/>
    </w:rPr>
  </w:style>
  <w:style w:type="character" w:customStyle="1" w:styleId="34">
    <w:name w:val="标题 8 Char"/>
    <w:basedOn w:val="21"/>
    <w:link w:val="5"/>
    <w:semiHidden/>
    <w:qFormat/>
    <w:uiPriority w:val="9"/>
    <w:rPr>
      <w:rFonts w:asciiTheme="majorHAnsi" w:hAnsiTheme="majorHAnsi" w:eastAsiaTheme="majorEastAsia" w:cstheme="majorBidi"/>
      <w:sz w:val="24"/>
      <w:szCs w:val="24"/>
    </w:rPr>
  </w:style>
  <w:style w:type="paragraph" w:customStyle="1" w:styleId="35">
    <w:name w:val="一级标题"/>
    <w:basedOn w:val="1"/>
    <w:qFormat/>
    <w:uiPriority w:val="0"/>
    <w:pPr>
      <w:widowControl/>
      <w:snapToGrid w:val="0"/>
      <w:spacing w:line="360" w:lineRule="auto"/>
      <w:jc w:val="center"/>
    </w:pPr>
    <w:rPr>
      <w:b/>
      <w:sz w:val="32"/>
    </w:rPr>
  </w:style>
  <w:style w:type="character" w:customStyle="1" w:styleId="36">
    <w:name w:val="YJB2 Char Char"/>
    <w:link w:val="37"/>
    <w:qFormat/>
    <w:uiPriority w:val="0"/>
    <w:rPr>
      <w:rFonts w:ascii="Arial" w:hAnsi="Arial" w:eastAsia="宋体"/>
      <w:sz w:val="24"/>
      <w:szCs w:val="24"/>
    </w:rPr>
  </w:style>
  <w:style w:type="paragraph" w:customStyle="1" w:styleId="37">
    <w:name w:val="YJB2"/>
    <w:basedOn w:val="1"/>
    <w:link w:val="36"/>
    <w:qFormat/>
    <w:uiPriority w:val="0"/>
    <w:pPr>
      <w:spacing w:line="360" w:lineRule="auto"/>
      <w:ind w:left="450" w:hanging="450" w:hangingChars="450"/>
    </w:pPr>
    <w:rPr>
      <w:rFonts w:ascii="Arial" w:hAnsi="Arial" w:cstheme="minorBidi"/>
      <w:sz w:val="24"/>
    </w:rPr>
  </w:style>
  <w:style w:type="paragraph" w:customStyle="1" w:styleId="38">
    <w:name w:val="样式1"/>
    <w:basedOn w:val="1"/>
    <w:qFormat/>
    <w:uiPriority w:val="0"/>
    <w:pPr>
      <w:tabs>
        <w:tab w:val="left" w:pos="1560"/>
      </w:tabs>
      <w:adjustRightInd w:val="0"/>
      <w:spacing w:line="440" w:lineRule="exact"/>
      <w:jc w:val="left"/>
      <w:textAlignment w:val="baseline"/>
    </w:pPr>
    <w:rPr>
      <w:rFonts w:eastAsia="仿宋体"/>
      <w:spacing w:val="-16"/>
      <w:kern w:val="0"/>
      <w:sz w:val="28"/>
      <w:szCs w:val="20"/>
    </w:rPr>
  </w:style>
  <w:style w:type="paragraph" w:customStyle="1" w:styleId="39">
    <w:name w:val="不缩进"/>
    <w:basedOn w:val="1"/>
    <w:qFormat/>
    <w:uiPriority w:val="0"/>
    <w:pPr>
      <w:adjustRightInd w:val="0"/>
      <w:snapToGrid w:val="0"/>
      <w:spacing w:line="280" w:lineRule="atLeast"/>
      <w:jc w:val="center"/>
    </w:pPr>
    <w:rPr>
      <w:rFonts w:ascii="宋体" w:hAnsi="宋体"/>
    </w:rPr>
  </w:style>
  <w:style w:type="character" w:customStyle="1" w:styleId="40">
    <w:name w:val="页眉 Char"/>
    <w:basedOn w:val="21"/>
    <w:link w:val="13"/>
    <w:qFormat/>
    <w:uiPriority w:val="99"/>
    <w:rPr>
      <w:rFonts w:ascii="Times New Roman" w:hAnsi="Times New Roman" w:eastAsia="宋体" w:cs="Times New Roman"/>
      <w:sz w:val="18"/>
      <w:szCs w:val="18"/>
    </w:rPr>
  </w:style>
  <w:style w:type="character" w:customStyle="1" w:styleId="41">
    <w:name w:val="页脚 Char"/>
    <w:basedOn w:val="21"/>
    <w:link w:val="12"/>
    <w:qFormat/>
    <w:uiPriority w:val="99"/>
    <w:rPr>
      <w:rFonts w:ascii="Times New Roman" w:hAnsi="Times New Roman" w:eastAsia="宋体" w:cs="Times New Roman"/>
      <w:sz w:val="18"/>
      <w:szCs w:val="18"/>
    </w:rPr>
  </w:style>
  <w:style w:type="character" w:customStyle="1" w:styleId="42">
    <w:name w:val="批注框文本 Char"/>
    <w:basedOn w:val="21"/>
    <w:link w:val="11"/>
    <w:semiHidden/>
    <w:qFormat/>
    <w:uiPriority w:val="99"/>
    <w:rPr>
      <w:rFonts w:ascii="Times New Roman" w:hAnsi="Times New Roman" w:eastAsia="宋体" w:cs="Times New Roman"/>
      <w:kern w:val="2"/>
      <w:sz w:val="18"/>
      <w:szCs w:val="18"/>
    </w:rPr>
  </w:style>
  <w:style w:type="character" w:customStyle="1" w:styleId="43">
    <w:name w:val="批注文字 Char"/>
    <w:basedOn w:val="21"/>
    <w:link w:val="7"/>
    <w:semiHidden/>
    <w:qFormat/>
    <w:uiPriority w:val="99"/>
    <w:rPr>
      <w:rFonts w:ascii="Times New Roman" w:hAnsi="Times New Roman" w:eastAsia="宋体" w:cs="Times New Roman"/>
      <w:kern w:val="2"/>
      <w:sz w:val="21"/>
      <w:szCs w:val="24"/>
    </w:rPr>
  </w:style>
  <w:style w:type="character" w:customStyle="1" w:styleId="44">
    <w:name w:val="批注主题 Char"/>
    <w:basedOn w:val="43"/>
    <w:link w:val="16"/>
    <w:semiHidden/>
    <w:qFormat/>
    <w:uiPriority w:val="99"/>
    <w:rPr>
      <w:rFonts w:ascii="Times New Roman" w:hAnsi="Times New Roman" w:eastAsia="宋体" w:cs="Times New Roman"/>
      <w:b/>
      <w:bCs/>
      <w:kern w:val="2"/>
      <w:sz w:val="21"/>
      <w:szCs w:val="24"/>
    </w:rPr>
  </w:style>
  <w:style w:type="paragraph" w:customStyle="1" w:styleId="45">
    <w:name w:val="Normal_23"/>
    <w:qFormat/>
    <w:uiPriority w:val="0"/>
    <w:rPr>
      <w:rFonts w:ascii="黑体" w:hAnsi="黑体" w:eastAsia="黑体" w:cs="黑体"/>
      <w:b/>
      <w:sz w:val="32"/>
      <w:szCs w:val="24"/>
      <w:lang w:val="en-US" w:eastAsia="zh-CN" w:bidi="ar-SA"/>
    </w:rPr>
  </w:style>
  <w:style w:type="paragraph" w:customStyle="1" w:styleId="46">
    <w:name w:val="正文_4_5"/>
    <w:qFormat/>
    <w:uiPriority w:val="0"/>
    <w:pPr>
      <w:widowControl w:val="0"/>
      <w:jc w:val="both"/>
    </w:pPr>
    <w:rPr>
      <w:rFonts w:ascii="Calibri" w:hAnsi="Calibri" w:eastAsia="宋体" w:cs="Times New Roman"/>
      <w:lang w:val="en-US" w:eastAsia="zh-CN" w:bidi="ar-SA"/>
    </w:rPr>
  </w:style>
  <w:style w:type="paragraph" w:customStyle="1" w:styleId="47">
    <w:name w:val="列出段落_0_0"/>
    <w:basedOn w:val="1"/>
    <w:link w:val="48"/>
    <w:qFormat/>
    <w:uiPriority w:val="34"/>
    <w:pPr>
      <w:ind w:firstLine="420" w:firstLineChars="200"/>
    </w:pPr>
    <w:rPr>
      <w:rFonts w:ascii="Calibri" w:hAnsi="Calibri"/>
      <w:kern w:val="0"/>
      <w:sz w:val="20"/>
      <w:szCs w:val="20"/>
    </w:rPr>
  </w:style>
  <w:style w:type="character" w:customStyle="1" w:styleId="48">
    <w:name w:val="列出段落 Char_0_0"/>
    <w:link w:val="47"/>
    <w:qFormat/>
    <w:locked/>
    <w:uiPriority w:val="34"/>
    <w:rPr>
      <w:rFonts w:ascii="Calibri" w:hAnsi="Calibri" w:eastAsia="宋体" w:cs="Times New Roman"/>
    </w:rPr>
  </w:style>
  <w:style w:type="paragraph" w:customStyle="1" w:styleId="49">
    <w:name w:val="正文_8"/>
    <w:qFormat/>
    <w:uiPriority w:val="0"/>
    <w:pPr>
      <w:widowControl w:val="0"/>
      <w:jc w:val="both"/>
    </w:pPr>
    <w:rPr>
      <w:rFonts w:ascii="Calibri" w:hAnsi="Calibri" w:eastAsia="宋体" w:cs="Times New Roman"/>
      <w:lang w:val="en-US" w:eastAsia="zh-CN" w:bidi="ar-SA"/>
    </w:rPr>
  </w:style>
  <w:style w:type="paragraph" w:customStyle="1" w:styleId="50">
    <w:name w:val="Normal_13"/>
    <w:qFormat/>
    <w:uiPriority w:val="0"/>
    <w:pPr>
      <w:widowControl w:val="0"/>
      <w:jc w:val="both"/>
    </w:pPr>
    <w:rPr>
      <w:rFonts w:ascii="宋体" w:hAnsi="宋体" w:eastAsia="宋体" w:cs="宋体"/>
      <w:lang w:val="en-US" w:eastAsia="zh-CN" w:bidi="ar-SA"/>
    </w:rPr>
  </w:style>
  <w:style w:type="paragraph" w:customStyle="1" w:styleId="51">
    <w:name w:val="列出段落2"/>
    <w:basedOn w:val="1"/>
    <w:qFormat/>
    <w:uiPriority w:val="0"/>
    <w:pPr>
      <w:ind w:firstLine="420" w:firstLineChars="200"/>
    </w:pPr>
    <w:rPr>
      <w:szCs w:val="20"/>
    </w:rPr>
  </w:style>
  <w:style w:type="character" w:customStyle="1" w:styleId="52">
    <w:name w:val="Variable"/>
    <w:qFormat/>
    <w:uiPriority w:val="0"/>
    <w:rPr>
      <w:i/>
    </w:rPr>
  </w:style>
  <w:style w:type="paragraph" w:customStyle="1" w:styleId="53">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162D0-B9CD-4E6F-A72B-DFB61F14B7A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7573</Words>
  <Characters>7913</Characters>
  <Lines>130</Lines>
  <Paragraphs>36</Paragraphs>
  <TotalTime>11</TotalTime>
  <ScaleCrop>false</ScaleCrop>
  <LinksUpToDate>false</LinksUpToDate>
  <CharactersWithSpaces>8618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2020-05-25T09:42:00Z</dcterms:created>
  <dc:creator>微软用户</dc:creator>
  <cp:lastModifiedBy>胡敏</cp:lastModifiedBy>
  <cp:lastPrinted>2022-08-15T02:35:00Z</cp:lastPrinted>
  <dcterms:modified xsi:type="dcterms:W3CDTF">2022-09-24T03:12:29Z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5A422FDEE2C54C6CAD6F9A40DCC1F008</vt:lpwstr>
  </property>
  <property fmtid="{D5CDD505-2E9C-101B-9397-08002B2CF9AE}" pid="4" name="commondata">
    <vt:lpwstr>eyJoZGlkIjoiOWZhZGExZGRiMzQ4OWFmODI3MDg5OGE0MjE2NGJiOTIifQ==</vt:lpwstr>
  </property>
</Properties>
</file>