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宋体" w:eastAsia="黑体" w:cs="Times New Roman"/>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浏阳市腾退村庄建设用地相关指标收益权评估报告编制（第二次）</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sz w:val="32"/>
        </w:rPr>
      </w:pPr>
    </w:p>
    <w:p>
      <w:pPr>
        <w:overflowPunct w:val="0"/>
        <w:ind w:firstLine="420"/>
        <w:rPr>
          <w:rFonts w:ascii="宋体" w:hAnsi="宋体" w:eastAsia="宋体" w:cs="宋体"/>
          <w:color w:val="auto"/>
          <w:sz w:val="32"/>
        </w:rPr>
      </w:pPr>
    </w:p>
    <w:p>
      <w:pPr>
        <w:overflowPunct w:val="0"/>
        <w:rPr>
          <w:rFonts w:ascii="宋体" w:hAnsi="宋体" w:eastAsia="宋体" w:cs="宋体"/>
          <w:color w:val="auto"/>
          <w:sz w:val="32"/>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浏阳市浏发乡村振兴产业投资有限公司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十二</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浏阳市腾退村庄建设用地相关指标收益权</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评估报告编制（第二次）招标公告</w:t>
      </w:r>
    </w:p>
    <w:p>
      <w:pPr>
        <w:pStyle w:val="8"/>
        <w:rPr>
          <w:rFonts w:hint="eastAsia"/>
          <w:lang w:val="en-US" w:eastAsia="zh-CN"/>
        </w:rPr>
      </w:pPr>
    </w:p>
    <w:bookmarkEnd w:id="0"/>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浏阳市腾退村庄建设用地相关指标收益权评估报告编制（第二次）</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480000元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完成浏阳市腾退村庄建设用地相关指标收益权价值评估，并出具评估报告。</w:t>
      </w:r>
      <w:bookmarkEnd w:id="1"/>
    </w:p>
    <w:bookmarkEnd w:id="2"/>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w:t>
      </w:r>
      <w:r>
        <w:rPr>
          <w:rFonts w:ascii="宋体" w:hAnsi="宋体" w:eastAsia="宋体" w:cs="Times New Roman"/>
          <w:b/>
          <w:bCs/>
          <w:color w:val="auto"/>
          <w:sz w:val="24"/>
          <w:szCs w:val="24"/>
        </w:rPr>
        <w:t>1</w:t>
      </w:r>
      <w:r>
        <w:rPr>
          <w:rFonts w:hint="eastAsia" w:ascii="宋体" w:hAnsi="宋体" w:eastAsia="宋体" w:cs="Times New Roman"/>
          <w:b/>
          <w:bCs/>
          <w:color w:val="auto"/>
          <w:sz w:val="24"/>
          <w:szCs w:val="24"/>
        </w:rPr>
        <w:t>基本资格条件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2024年9月至2024年11月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w:t>
      </w:r>
      <w:r>
        <w:rPr>
          <w:rFonts w:hint="eastAsia" w:ascii="宋体" w:hAnsi="宋体" w:eastAsia="宋体" w:cs="Times New Roman"/>
          <w:color w:val="auto"/>
          <w:sz w:val="24"/>
          <w:szCs w:val="24"/>
          <w:highlight w:val="none"/>
        </w:rPr>
        <w:t>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2投标人特定资格条件</w:t>
      </w:r>
      <w:r>
        <w:rPr>
          <w:rFonts w:hint="eastAsia" w:ascii="宋体" w:hAnsi="宋体" w:eastAsia="宋体" w:cs="Times New Roman"/>
          <w:b/>
          <w:bCs/>
          <w:color w:val="auto"/>
          <w:kern w:val="2"/>
          <w:sz w:val="24"/>
          <w:szCs w:val="24"/>
          <w:highlight w:val="none"/>
          <w:lang w:val="en-US" w:eastAsia="zh-CN" w:bidi="ar-SA"/>
        </w:rPr>
        <w:t>：具有相关部门颁发的资产评估、证券备案资质的评估机构。</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3联合体投标</w:t>
      </w:r>
      <w:r>
        <w:rPr>
          <w:rFonts w:hint="eastAsia" w:ascii="宋体" w:hAnsi="宋体" w:eastAsia="宋体" w:cs="Times New Roman"/>
          <w:b/>
          <w:bCs/>
          <w:color w:val="auto"/>
          <w:kern w:val="2"/>
          <w:sz w:val="24"/>
          <w:szCs w:val="24"/>
          <w:lang w:val="en-US" w:eastAsia="zh-CN" w:bidi="ar-SA"/>
        </w:rPr>
        <w:t>：</w:t>
      </w:r>
      <w:r>
        <w:rPr>
          <w:rFonts w:ascii="宋体" w:hAnsi="宋体" w:eastAsia="宋体" w:cs="Times New Roman"/>
          <w:color w:val="auto"/>
          <w:kern w:val="2"/>
          <w:sz w:val="24"/>
          <w:szCs w:val="24"/>
          <w:lang w:val="en-US" w:eastAsia="zh-CN" w:bidi="ar-SA"/>
        </w:rPr>
        <w:t>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30</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14:30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b/>
          <w:bCs/>
          <w:color w:val="auto"/>
          <w:sz w:val="24"/>
          <w:szCs w:val="24"/>
        </w:rPr>
        <w:t>递交投标文件地点：</w:t>
      </w:r>
      <w:r>
        <w:rPr>
          <w:rFonts w:hint="eastAsia" w:ascii="宋体" w:hAnsi="宋体" w:eastAsia="宋体" w:cs="Times New Roman"/>
          <w:color w:val="auto"/>
          <w:sz w:val="24"/>
          <w:szCs w:val="24"/>
        </w:rPr>
        <w:t>浏阳市人民东路60号2楼202室</w:t>
      </w:r>
    </w:p>
    <w:p>
      <w:pPr>
        <w:keepNext w:val="0"/>
        <w:keepLines w:val="0"/>
        <w:pageBreakBefore w:val="0"/>
        <w:kinsoku/>
        <w:overflowPunct/>
        <w:topLinePunct w:val="0"/>
        <w:autoSpaceDE/>
        <w:autoSpaceDN/>
        <w:bidi w:val="0"/>
        <w:adjustRightInd w:val="0"/>
        <w:snapToGrid/>
        <w:spacing w:line="360" w:lineRule="auto"/>
        <w:ind w:firstLine="482" w:firstLineChars="200"/>
        <w:rPr>
          <w:rFonts w:hint="eastAsia" w:ascii="宋体" w:hAnsi="宋体" w:eastAsia="宋体" w:cs="Times New Roman"/>
          <w:color w:val="auto"/>
          <w:sz w:val="24"/>
          <w:szCs w:val="24"/>
          <w:u w:val="single"/>
        </w:rPr>
      </w:pPr>
      <w:r>
        <w:rPr>
          <w:rFonts w:hint="eastAsia" w:ascii="宋体" w:hAnsi="宋体" w:eastAsia="宋体" w:cs="Times New Roman"/>
          <w:b/>
          <w:bCs/>
          <w:color w:val="auto"/>
          <w:sz w:val="24"/>
          <w:szCs w:val="24"/>
          <w:lang w:val="en-US" w:eastAsia="zh-CN"/>
        </w:rPr>
        <w:t>3.</w:t>
      </w:r>
      <w:r>
        <w:rPr>
          <w:rFonts w:hint="eastAsia" w:ascii="宋体" w:hAnsi="宋体" w:eastAsia="宋体" w:cs="Times New Roman"/>
          <w:b/>
          <w:bCs/>
          <w:color w:val="auto"/>
          <w:sz w:val="24"/>
          <w:szCs w:val="24"/>
        </w:rPr>
        <w:t>5</w:t>
      </w:r>
      <w:r>
        <w:rPr>
          <w:rFonts w:ascii="宋体" w:hAnsi="宋体" w:eastAsia="宋体" w:cs="Times New Roman"/>
          <w:b/>
          <w:bCs/>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12</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30</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14:30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360" w:lineRule="auto"/>
        <w:ind w:firstLine="964" w:firstLineChars="400"/>
        <w:rPr>
          <w:rFonts w:hint="eastAsia" w:ascii="宋体" w:hAnsi="宋体" w:eastAsia="宋体" w:cs="Times New Roman"/>
          <w:color w:val="auto"/>
          <w:sz w:val="24"/>
          <w:szCs w:val="24"/>
        </w:rPr>
      </w:pPr>
      <w:r>
        <w:rPr>
          <w:rFonts w:hint="eastAsia" w:ascii="宋体" w:hAnsi="宋体" w:eastAsia="宋体" w:cs="Times New Roman"/>
          <w:b/>
          <w:bCs/>
          <w:color w:val="auto"/>
          <w:sz w:val="24"/>
          <w:szCs w:val="24"/>
        </w:rPr>
        <w:t>开标地点：</w:t>
      </w:r>
      <w:r>
        <w:rPr>
          <w:rFonts w:hint="eastAsia" w:ascii="宋体" w:hAnsi="宋体" w:eastAsia="宋体" w:cs="Times New Roman"/>
          <w:color w:val="auto"/>
          <w:sz w:val="24"/>
          <w:szCs w:val="24"/>
        </w:rPr>
        <w:t>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wordWrap w:val="0"/>
        <w:overflowPunct/>
        <w:topLinePunct w:val="0"/>
        <w:autoSpaceDE/>
        <w:autoSpaceDN/>
        <w:bidi w:val="0"/>
        <w:adjustRightInd/>
        <w:snapToGrid/>
        <w:spacing w:after="120" w:line="360" w:lineRule="auto"/>
        <w:ind w:left="0" w:leftChars="0" w:firstLine="482" w:firstLineChars="200"/>
        <w:jc w:val="left"/>
        <w:textAlignment w:val="auto"/>
        <w:rPr>
          <w:rFonts w:hint="eastAsia" w:ascii="宋体" w:hAnsi="宋体" w:eastAsia="宋体" w:cs="Times New Roman"/>
          <w:color w:val="auto"/>
          <w:kern w:val="2"/>
          <w:sz w:val="24"/>
          <w:szCs w:val="24"/>
          <w:u w:val="single"/>
          <w:lang w:val="en-US" w:eastAsia="zh-CN" w:bidi="ar-SA"/>
        </w:rPr>
      </w:pPr>
      <w:r>
        <w:rPr>
          <w:rFonts w:hint="eastAsia" w:ascii="宋体" w:hAnsi="宋体" w:eastAsia="宋体" w:cs="Times New Roman"/>
          <w:b/>
          <w:bCs/>
          <w:color w:val="auto"/>
          <w:sz w:val="24"/>
          <w:szCs w:val="24"/>
          <w:lang w:val="en-US" w:eastAsia="zh-CN"/>
        </w:rPr>
        <w:t>3.6</w:t>
      </w:r>
      <w:r>
        <w:rPr>
          <w:rFonts w:hint="eastAsia" w:ascii="宋体" w:hAnsi="宋体" w:eastAsia="宋体" w:cs="Times New Roman"/>
          <w:b/>
          <w:bCs/>
          <w:color w:val="auto"/>
          <w:kern w:val="2"/>
          <w:sz w:val="24"/>
          <w:szCs w:val="24"/>
          <w:lang w:val="en-US" w:eastAsia="zh-CN" w:bidi="ar-SA"/>
        </w:rPr>
        <w:t>投标人要求澄清招标文件：</w:t>
      </w:r>
      <w:r>
        <w:rPr>
          <w:rFonts w:hint="eastAsia" w:ascii="宋体" w:hAnsi="宋体" w:eastAsia="宋体" w:cs="Times New Roman"/>
          <w:color w:val="auto"/>
          <w:kern w:val="2"/>
          <w:sz w:val="24"/>
          <w:szCs w:val="24"/>
          <w:lang w:val="en-US" w:eastAsia="zh-CN" w:bidi="ar-SA"/>
        </w:rPr>
        <w:t>投标人若对招标文件有任何疑问，应于</w:t>
      </w:r>
      <w:r>
        <w:rPr>
          <w:rFonts w:hint="eastAsia" w:ascii="宋体" w:hAnsi="宋体" w:eastAsia="宋体" w:cs="Times New Roman"/>
          <w:color w:val="auto"/>
          <w:kern w:val="2"/>
          <w:sz w:val="24"/>
          <w:szCs w:val="24"/>
          <w:u w:val="single"/>
          <w:lang w:val="en-US" w:eastAsia="zh-CN" w:bidi="ar-SA"/>
        </w:rPr>
        <w:t>2024年</w:t>
      </w:r>
    </w:p>
    <w:p>
      <w:pPr>
        <w:keepNext w:val="0"/>
        <w:keepLines w:val="0"/>
        <w:pageBreakBefore w:val="0"/>
        <w:widowControl w:val="0"/>
        <w:kinsoku/>
        <w:wordWrap w:val="0"/>
        <w:overflowPunct/>
        <w:topLinePunct w:val="0"/>
        <w:autoSpaceDE/>
        <w:autoSpaceDN/>
        <w:bidi w:val="0"/>
        <w:adjustRightInd/>
        <w:snapToGrid/>
        <w:spacing w:after="120" w:line="360" w:lineRule="auto"/>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u w:val="single"/>
          <w:lang w:val="en-US" w:eastAsia="zh-CN" w:bidi="ar-SA"/>
        </w:rPr>
        <w:t>12 月26日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line="360" w:lineRule="auto"/>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w:t>
      </w:r>
      <w:bookmarkStart w:id="3" w:name="OLE_LINK5"/>
      <w:r>
        <w:rPr>
          <w:rFonts w:hint="eastAsia" w:ascii="宋体" w:hAnsi="宋体" w:eastAsia="宋体" w:cs="Times New Roman"/>
          <w:b/>
          <w:bCs/>
          <w:color w:val="auto"/>
          <w:kern w:val="2"/>
          <w:sz w:val="24"/>
          <w:szCs w:val="24"/>
          <w:lang w:val="en-US" w:eastAsia="zh-CN" w:bidi="ar-SA"/>
        </w:rPr>
        <w:t>特别说明</w:t>
      </w:r>
    </w:p>
    <w:p>
      <w:pPr>
        <w:keepNext w:val="0"/>
        <w:keepLines w:val="0"/>
        <w:pageBreakBefore w:val="0"/>
        <w:widowControl w:val="0"/>
        <w:kinsoku/>
        <w:overflowPunct/>
        <w:topLinePunct w:val="0"/>
        <w:autoSpaceDE/>
        <w:autoSpaceDN/>
        <w:bidi w:val="0"/>
        <w:snapToGrid/>
        <w:spacing w:line="360" w:lineRule="auto"/>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3.10.1中标人自中标之日起3日内须与招标人联系并签订合同，否则视为自动放弃中标。</w:t>
      </w:r>
    </w:p>
    <w:p>
      <w:pPr>
        <w:keepNext w:val="0"/>
        <w:keepLines w:val="0"/>
        <w:pageBreakBefore w:val="0"/>
        <w:widowControl w:val="0"/>
        <w:kinsoku/>
        <w:overflowPunct/>
        <w:topLinePunct w:val="0"/>
        <w:autoSpaceDE/>
        <w:autoSpaceDN/>
        <w:bidi w:val="0"/>
        <w:snapToGrid/>
        <w:spacing w:line="360" w:lineRule="auto"/>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3.10.2中标人未在约定期限内出具评估报告，每逾期一天，支付违约金200元，逾期7日以上，招标人有权单反解除合同，并要求受托费支付按评估收费30%计算的违约金。</w:t>
      </w:r>
    </w:p>
    <w:p>
      <w:pPr>
        <w:keepNext w:val="0"/>
        <w:keepLines w:val="0"/>
        <w:pageBreakBefore w:val="0"/>
        <w:widowControl w:val="0"/>
        <w:kinsoku/>
        <w:overflowPunct/>
        <w:topLinePunct w:val="0"/>
        <w:autoSpaceDE/>
        <w:autoSpaceDN/>
        <w:bidi w:val="0"/>
        <w:snapToGrid/>
        <w:spacing w:line="360" w:lineRule="auto"/>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3.10.3中标人在评估现场进行评估所发生的交通、住宿、餐饮等费用均包含在评估费内，招标人不在另行支付任何费用。</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4"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4.1投标人必须在投标截止时间前，缴纳玖仟陆佰元整（￥9600）投标保证金，否则拒收其投标文件。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户名：浏阳市浏发乡村振兴产业投资有限公司 </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银行：湖南浏阳江淮村镇银行股份有限公司人民支行</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账号：20010292357466600000013</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4.4未中标单位的投标保证金在成交通知书发放后五个工作日内退还，中标单位的投标保证金在中标单位与招标人签订合同后直接转为履约保证金，正式验收合格后退回（不计息）。</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360" w:lineRule="auto"/>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4"/>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0" w:afterAutospacing="0" w:line="360" w:lineRule="auto"/>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360" w:lineRule="auto"/>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360" w:lineRule="auto"/>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3"/>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浏阳市浏发乡村振兴产业投资有限公司</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代理机构：湖南林三建筑科技有限公司</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地    址：浏阳市关口街道国际烟花贸易大厦10楼1003室</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 xml:space="preserve">联 系 人：周女士     </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电话：13874995334</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lang w:val="en-US" w:eastAsia="zh-CN"/>
        </w:rPr>
      </w:pPr>
    </w:p>
    <w:p>
      <w:pPr>
        <w:keepNext w:val="0"/>
        <w:keepLines w:val="0"/>
        <w:pageBreakBefore w:val="0"/>
        <w:kinsoku/>
        <w:wordWrap w:val="0"/>
        <w:overflowPunct/>
        <w:topLinePunct w:val="0"/>
        <w:autoSpaceDE/>
        <w:autoSpaceDN/>
        <w:bidi w:val="0"/>
        <w:snapToGrid/>
        <w:spacing w:line="360" w:lineRule="auto"/>
        <w:ind w:right="-34"/>
        <w:jc w:val="right"/>
        <w:rPr>
          <w:color w:val="auto"/>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23</w:t>
      </w:r>
      <w:r>
        <w:rPr>
          <w:rFonts w:hint="eastAsia" w:ascii="宋体" w:hAnsi="宋体" w:eastAsia="宋体" w:cs="Times New Roman"/>
          <w:color w:val="auto"/>
          <w:sz w:val="24"/>
          <w:szCs w:val="24"/>
        </w:rPr>
        <w:t>日</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p>
    <w:p>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浏阳市腾退村庄建设用地相关指标收益权</w:t>
      </w:r>
    </w:p>
    <w:p>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2"/>
          <w:sz w:val="36"/>
          <w:szCs w:val="36"/>
          <w:lang w:val="en-US" w:eastAsia="zh-CN" w:bidi="ar-SA"/>
        </w:rPr>
        <w:t>评估报告编制（第二次）</w:t>
      </w:r>
      <w:r>
        <w:rPr>
          <w:rFonts w:hint="eastAsia" w:ascii="宋体" w:hAnsi="宋体" w:eastAsia="宋体" w:cs="宋体"/>
          <w:b/>
          <w:bCs/>
          <w:color w:val="auto"/>
          <w:kern w:val="0"/>
          <w:sz w:val="36"/>
          <w:szCs w:val="36"/>
          <w:lang w:val="en-US" w:eastAsia="zh-CN" w:bidi="ar-SA"/>
        </w:rPr>
        <w:t>招标文件</w:t>
      </w:r>
    </w:p>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湖南林三建筑科技有限公司受浏阳市浏发乡村振兴产业投资有限公司委托，就其</w:t>
      </w:r>
      <w:r>
        <w:rPr>
          <w:rFonts w:hint="eastAsia" w:ascii="宋体" w:hAnsi="宋体" w:eastAsia="宋体" w:cs="宋体"/>
          <w:color w:val="auto"/>
          <w:kern w:val="2"/>
          <w:sz w:val="24"/>
          <w:szCs w:val="24"/>
          <w:lang w:val="en-US" w:eastAsia="zh-CN" w:bidi="ar-SA"/>
        </w:rPr>
        <w:t>浏阳市腾退村庄建设用地相关指标收益权评估报告编制</w:t>
      </w:r>
      <w:r>
        <w:rPr>
          <w:rFonts w:hint="eastAsia" w:ascii="宋体" w:hAnsi="宋体" w:eastAsia="宋体" w:cs="宋体"/>
          <w:color w:val="auto"/>
          <w:kern w:val="0"/>
          <w:sz w:val="24"/>
          <w:szCs w:val="24"/>
          <w:lang w:val="en-US" w:eastAsia="zh-CN" w:bidi="ar-SA"/>
        </w:rPr>
        <w:t>进行采购，现进行公开招标。</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完成浏阳市腾退村庄建设用地相关指标收益权价值评估，并出具评估报告。</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color w:val="auto"/>
          <w:sz w:val="24"/>
          <w:szCs w:val="24"/>
          <w:lang w:val="en-US" w:eastAsia="zh-CN"/>
        </w:rPr>
        <w:t>服务</w:t>
      </w:r>
      <w:r>
        <w:rPr>
          <w:rFonts w:hint="eastAsia" w:eastAsia="宋体" w:cs="宋体"/>
          <w:b/>
          <w:color w:val="auto"/>
          <w:sz w:val="24"/>
          <w:szCs w:val="24"/>
          <w:lang w:val="en-US" w:eastAsia="zh-CN"/>
        </w:rPr>
        <w:t>时间</w:t>
      </w:r>
      <w:r>
        <w:rPr>
          <w:rFonts w:hint="eastAsia" w:ascii="宋体" w:hAnsi="宋体" w:eastAsia="宋体" w:cs="宋体"/>
          <w:b/>
          <w:color w:val="auto"/>
          <w:sz w:val="24"/>
          <w:szCs w:val="24"/>
          <w:lang w:val="en-US" w:eastAsia="zh-CN"/>
        </w:rPr>
        <w:t>：</w:t>
      </w:r>
      <w:r>
        <w:rPr>
          <w:rFonts w:hint="eastAsia" w:eastAsia="宋体" w:cs="宋体"/>
          <w:b w:val="0"/>
          <w:bCs w:val="0"/>
          <w:color w:val="auto"/>
          <w:sz w:val="24"/>
          <w:szCs w:val="24"/>
          <w:lang w:val="en-US" w:eastAsia="zh-CN"/>
        </w:rPr>
        <w:t>在招标人提供完整资料之日起7个工作日内向招标人出具评估报告书。</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五、服务要求：</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bCs/>
          <w:color w:val="auto"/>
          <w:kern w:val="0"/>
          <w:sz w:val="24"/>
          <w:szCs w:val="24"/>
          <w:lang w:val="en-US" w:eastAsia="zh-CN" w:bidi="ar-SA"/>
        </w:rPr>
      </w:pPr>
      <w:r>
        <w:rPr>
          <w:rFonts w:hint="default" w:ascii="宋体" w:hAnsi="宋体" w:eastAsia="宋体" w:cs="宋体"/>
          <w:bCs/>
          <w:color w:val="auto"/>
          <w:kern w:val="0"/>
          <w:sz w:val="24"/>
          <w:szCs w:val="24"/>
          <w:lang w:val="en-US" w:eastAsia="zh-CN" w:bidi="ar-SA"/>
        </w:rPr>
        <w:t>1、投标人应是具有资产评估、证券备案资质的评估机构</w:t>
      </w:r>
      <w:r>
        <w:rPr>
          <w:rFonts w:hint="eastAsia" w:ascii="宋体" w:hAnsi="宋体" w:eastAsia="宋体" w:cs="宋体"/>
          <w:bCs/>
          <w:color w:val="auto"/>
          <w:kern w:val="0"/>
          <w:sz w:val="24"/>
          <w:szCs w:val="24"/>
          <w:lang w:val="en-US" w:eastAsia="zh-CN" w:bidi="ar-SA"/>
        </w:rPr>
        <w:t>。</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bCs/>
          <w:color w:val="auto"/>
          <w:kern w:val="0"/>
          <w:sz w:val="24"/>
          <w:szCs w:val="24"/>
          <w:lang w:val="en-US" w:eastAsia="zh-CN" w:bidi="ar-SA"/>
        </w:rPr>
      </w:pPr>
      <w:r>
        <w:rPr>
          <w:rFonts w:hint="default" w:ascii="宋体" w:hAnsi="宋体" w:eastAsia="宋体" w:cs="宋体"/>
          <w:bCs/>
          <w:color w:val="auto"/>
          <w:kern w:val="0"/>
          <w:sz w:val="24"/>
          <w:szCs w:val="24"/>
          <w:lang w:val="en-US" w:eastAsia="zh-CN" w:bidi="ar-SA"/>
        </w:rPr>
        <w:t>2、中标人对评估资料的真实性、合法性负责；中标人对评估报告书的公允性、合法性负责，并对招标人提供的资料保密。</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bCs/>
          <w:color w:val="auto"/>
          <w:kern w:val="0"/>
          <w:sz w:val="24"/>
          <w:szCs w:val="24"/>
          <w:lang w:val="en-US" w:eastAsia="zh-CN" w:bidi="ar-SA"/>
        </w:rPr>
      </w:pPr>
      <w:r>
        <w:rPr>
          <w:rFonts w:hint="default" w:ascii="宋体" w:hAnsi="宋体" w:eastAsia="宋体" w:cs="宋体"/>
          <w:bCs/>
          <w:color w:val="auto"/>
          <w:kern w:val="0"/>
          <w:sz w:val="24"/>
          <w:szCs w:val="24"/>
          <w:lang w:val="en-US" w:eastAsia="zh-CN" w:bidi="ar-SA"/>
        </w:rPr>
        <w:t>3、中标人应在招标人提供完整资料之日起7个工作日内向招标人出具评估报告书。</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9月至2024年11月）依法缴纳税收的证明（纳税凭证复印件），或者委托他人缴纳的委托代办协议和近三个月内任意一个月（2024年9月至2024年11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宋体"/>
          <w:b/>
          <w:bCs/>
          <w:color w:val="auto"/>
          <w:spacing w:val="-2"/>
          <w:kern w:val="0"/>
          <w:sz w:val="24"/>
          <w:szCs w:val="24"/>
          <w:lang w:val="en-US" w:eastAsia="zh-CN" w:bidi="ar-SA"/>
        </w:rPr>
        <w:t>6.2特定资格条件：</w:t>
      </w:r>
      <w:r>
        <w:rPr>
          <w:rFonts w:hint="eastAsia" w:ascii="宋体" w:hAnsi="宋体" w:eastAsia="宋体" w:cs="Times New Roman"/>
          <w:b/>
          <w:bCs/>
          <w:color w:val="auto"/>
          <w:kern w:val="2"/>
          <w:sz w:val="24"/>
          <w:szCs w:val="24"/>
          <w:lang w:val="en-US" w:eastAsia="zh-CN" w:bidi="ar-SA"/>
        </w:rPr>
        <w:t>具有相关部门颁发</w:t>
      </w:r>
      <w:bookmarkStart w:id="12" w:name="_GoBack"/>
      <w:r>
        <w:rPr>
          <w:rFonts w:hint="eastAsia" w:ascii="宋体" w:hAnsi="宋体" w:eastAsia="宋体" w:cs="Times New Roman"/>
          <w:b/>
          <w:bCs/>
          <w:color w:val="auto"/>
          <w:kern w:val="2"/>
          <w:sz w:val="24"/>
          <w:szCs w:val="24"/>
          <w:highlight w:val="none"/>
          <w:lang w:val="en-US" w:eastAsia="zh-CN" w:bidi="ar-SA"/>
        </w:rPr>
        <w:t>的资产评估、证券备案资质的评估机构。</w:t>
      </w:r>
      <w:bookmarkEnd w:id="12"/>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6.3投标人有下列情形之一的，视为无效投标：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：480000.00元</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bookmarkStart w:id="5" w:name="_Toc401742306"/>
      <w:bookmarkStart w:id="6" w:name="_Toc359570304"/>
      <w:r>
        <w:rPr>
          <w:rFonts w:hint="eastAsia" w:ascii="宋体" w:hAnsi="宋体" w:eastAsia="宋体" w:cs="宋体"/>
          <w:b/>
          <w:bCs w:val="0"/>
          <w:color w:val="auto"/>
          <w:kern w:val="2"/>
          <w:sz w:val="24"/>
          <w:szCs w:val="24"/>
          <w:lang w:val="en-US" w:eastAsia="zh-CN" w:bidi="ar-SA"/>
        </w:rPr>
        <w:t>其他要求：</w:t>
      </w:r>
      <w:bookmarkEnd w:id="5"/>
      <w:bookmarkEnd w:id="6"/>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9.1验收</w:t>
      </w:r>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9.2结算方法</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9.2.1付款人：</w:t>
      </w:r>
      <w:r>
        <w:rPr>
          <w:rFonts w:hint="eastAsia" w:ascii="宋体" w:hAnsi="宋体" w:eastAsia="宋体" w:cs="宋体"/>
          <w:color w:val="auto"/>
          <w:kern w:val="0"/>
          <w:sz w:val="24"/>
          <w:szCs w:val="24"/>
          <w:lang w:val="en-US" w:eastAsia="zh-CN" w:bidi="ar-SA"/>
        </w:rPr>
        <w:t>浏阳市浏发乡村振兴产业投资有限公司</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9.2.2付款方式：</w:t>
      </w:r>
      <w:r>
        <w:rPr>
          <w:rFonts w:hint="eastAsia" w:ascii="宋体" w:hAnsi="宋体" w:eastAsia="宋体" w:cs="宋体"/>
          <w:color w:val="auto"/>
          <w:kern w:val="0"/>
          <w:sz w:val="24"/>
          <w:szCs w:val="24"/>
          <w:lang w:val="en-US" w:eastAsia="zh-CN" w:bidi="ar-SA"/>
        </w:rPr>
        <w:t>提交报告成果经招标人确认后一次性支付款项。</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9.3</w:t>
      </w:r>
      <w:r>
        <w:rPr>
          <w:rFonts w:hint="eastAsia" w:ascii="宋体" w:hAnsi="宋体" w:eastAsia="宋体" w:cs="宋体"/>
          <w:color w:val="auto"/>
          <w:kern w:val="0"/>
          <w:sz w:val="24"/>
          <w:szCs w:val="24"/>
          <w:lang w:val="en-US" w:eastAsia="zh-CN" w:bidi="ar-SA"/>
        </w:rPr>
        <w:t>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9.4特别说明</w:t>
      </w:r>
    </w:p>
    <w:p>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9.4.1中标人自中标之日起3日内须与招标人联系并签订合同，否则视为自动放弃中标。</w:t>
      </w:r>
    </w:p>
    <w:p>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9.4.2中标人未在约定期限内出具评估报告，每逾期一天，支付违约金200元，逾期7日以上，招标人有权单反解除合同，并要求受托费支付按评估收费30%计算的违约金。</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9.4.3中标人在评估现场进行评估所发生的交通、住宿、餐饮等费用均包含在评估费内，招标人不在另行支付任何费用。</w:t>
      </w:r>
    </w:p>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十一、投标文件递交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429827520"/>
      <w:bookmarkStart w:id="8"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浏阳市浏发乡村振兴产业投资有限公司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7"/>
    <w:bookmarkEnd w:id="8"/>
    <w:p>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仿宋_GB2312" w:hAnsi="Times New Roman" w:eastAsia="仿宋_GB2312" w:cs="Times New Roman"/>
          <w:color w:val="auto"/>
          <w:sz w:val="32"/>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浏阳市腾退村庄建设用地相关指标收益权评估报告编制（第二次）</w:t>
      </w:r>
    </w:p>
    <w:p>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overflowPunct w:val="0"/>
        <w:jc w:val="left"/>
        <w:rPr>
          <w:rFonts w:ascii="黑体" w:hAnsi="Times New Roman" w:eastAsia="黑体" w:cs="Times New Roman"/>
          <w:color w:val="auto"/>
          <w:sz w:val="24"/>
          <w:szCs w:val="28"/>
        </w:rPr>
      </w:pPr>
    </w:p>
    <w:p>
      <w:pPr>
        <w:overflowPunct w:val="0"/>
        <w:jc w:val="left"/>
        <w:rPr>
          <w:rFonts w:ascii="黑体" w:hAnsi="Times New Roman" w:eastAsia="黑体" w:cs="Times New Roman"/>
          <w:color w:val="auto"/>
          <w:sz w:val="24"/>
          <w:szCs w:val="28"/>
        </w:rPr>
      </w:pPr>
    </w:p>
    <w:p>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s="Times New Roman"/>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3"/>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9"/>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pPr>
              <w:spacing w:line="700" w:lineRule="exact"/>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浏阳市腾退村庄建设用地相关指标收益权评估报告编制（第二次）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服务期</w:t>
            </w:r>
          </w:p>
          <w:p>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bCs/>
                <w:color w:val="auto"/>
                <w:sz w:val="24"/>
                <w:lang w:val="en-US" w:eastAsia="zh-CN"/>
              </w:rPr>
              <w:t>在招标人提供完整资料之日起7个工作日内向招标人出具评估报告书</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提交报告成果经招标人确认后一次性支付款项。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pStyle w:val="11"/>
        <w:rPr>
          <w:rFonts w:hint="eastAsia"/>
          <w:color w:val="auto"/>
          <w:lang w:val="en-US" w:eastAsia="zh-CN"/>
        </w:rPr>
      </w:pPr>
    </w:p>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9"/>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389"/>
        <w:gridCol w:w="1303"/>
        <w:gridCol w:w="1262"/>
        <w:gridCol w:w="1716"/>
        <w:gridCol w:w="20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both"/>
        <w:rPr>
          <w:rFonts w:hint="eastAsia" w:ascii="宋体" w:hAnsi="宋体" w:eastAsia="宋体" w:cs="宋体"/>
          <w:b/>
          <w:color w:val="auto"/>
          <w:sz w:val="32"/>
          <w:szCs w:val="32"/>
        </w:rPr>
      </w:pPr>
    </w:p>
    <w:p>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pPr>
        <w:adjustRightInd w:val="0"/>
        <w:snapToGrid w:val="0"/>
        <w:ind w:left="-88" w:leftChars="-42" w:firstLine="281" w:firstLineChars="100"/>
        <w:jc w:val="center"/>
        <w:rPr>
          <w:rFonts w:ascii="宋体" w:hAnsi="宋体" w:eastAsia="宋体" w:cs="Times New Roman"/>
          <w:b/>
          <w:bCs/>
          <w:color w:val="auto"/>
          <w:sz w:val="28"/>
          <w:szCs w:val="28"/>
        </w:rPr>
      </w:pPr>
    </w:p>
    <w:p>
      <w:pPr>
        <w:adjustRightInd w:val="0"/>
        <w:snapToGrid w:val="0"/>
        <w:ind w:left="-88" w:leftChars="-42" w:firstLine="210" w:firstLineChars="100"/>
        <w:rPr>
          <w:rFonts w:ascii="宋体" w:hAnsi="宋体" w:eastAsia="宋体" w:cs="Times New Roman"/>
          <w:bCs/>
          <w:color w:val="auto"/>
          <w:sz w:val="21"/>
          <w:szCs w:val="21"/>
        </w:rPr>
      </w:pPr>
    </w:p>
    <w:p>
      <w:pPr>
        <w:adjustRightInd w:val="0"/>
        <w:snapToGrid w:val="0"/>
        <w:ind w:left="-88" w:leftChars="-42" w:firstLine="210" w:firstLineChars="100"/>
        <w:rPr>
          <w:rFonts w:ascii="宋体" w:hAnsi="宋体" w:eastAsia="宋体" w:cs="Times New Roman"/>
          <w:color w:val="auto"/>
          <w:sz w:val="21"/>
          <w:szCs w:val="21"/>
        </w:rPr>
      </w:pPr>
    </w:p>
    <w:p>
      <w:pPr>
        <w:adjustRightInd w:val="0"/>
        <w:snapToGrid w:val="0"/>
        <w:ind w:left="-88"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9"/>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bl>
    <w:p>
      <w:pPr>
        <w:rPr>
          <w:rFonts w:hint="eastAsia" w:ascii="Times New Roman" w:hAnsi="Times New Roman" w:eastAsia="宋体" w:cs="Times New Roman"/>
          <w:color w:val="auto"/>
          <w:sz w:val="24"/>
          <w:szCs w:val="24"/>
        </w:rPr>
      </w:pP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9" w:name="_Toc281562938"/>
      <w:bookmarkStart w:id="10" w:name="_Toc193115823"/>
      <w:bookmarkStart w:id="11"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9"/>
      <w:bookmarkEnd w:id="10"/>
      <w:bookmarkEnd w:id="11"/>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pPr>
        <w:spacing w:line="400" w:lineRule="exact"/>
        <w:rPr>
          <w:rFonts w:hint="eastAsia" w:ascii="宋体" w:hAnsi="宋体" w:eastAsia="宋体" w:cs="宋体"/>
          <w:color w:val="auto"/>
          <w:sz w:val="32"/>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9"/>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rPr>
          <w:rFonts w:ascii="仿宋_GB2312" w:hAnsi="Times New Roman" w:eastAsia="仿宋_GB2312" w:cs="Times New Roman"/>
          <w:color w:val="auto"/>
          <w:sz w:val="32"/>
        </w:rPr>
      </w:pPr>
    </w:p>
    <w:p>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6BAC26DB"/>
    <w:multiLevelType w:val="singleLevel"/>
    <w:tmpl w:val="6BAC26D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FA45D7"/>
    <w:rsid w:val="05066B4B"/>
    <w:rsid w:val="0AEC4525"/>
    <w:rsid w:val="15FC5BCD"/>
    <w:rsid w:val="1E256308"/>
    <w:rsid w:val="228C58B4"/>
    <w:rsid w:val="2AB37954"/>
    <w:rsid w:val="350F1133"/>
    <w:rsid w:val="36E25286"/>
    <w:rsid w:val="37210F1A"/>
    <w:rsid w:val="39822409"/>
    <w:rsid w:val="39CE5B60"/>
    <w:rsid w:val="418B6D06"/>
    <w:rsid w:val="4BA91A77"/>
    <w:rsid w:val="4D6B792C"/>
    <w:rsid w:val="50884351"/>
    <w:rsid w:val="50DF16BE"/>
    <w:rsid w:val="50E46660"/>
    <w:rsid w:val="55F93DFD"/>
    <w:rsid w:val="568C4808"/>
    <w:rsid w:val="5D6F463D"/>
    <w:rsid w:val="6606399F"/>
    <w:rsid w:val="6A520624"/>
    <w:rsid w:val="6C3633EA"/>
    <w:rsid w:val="6EDB6AE2"/>
    <w:rsid w:val="713127C5"/>
    <w:rsid w:val="7275753E"/>
    <w:rsid w:val="732E79F9"/>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Indent"/>
    <w:basedOn w:val="1"/>
    <w:next w:val="5"/>
    <w:qFormat/>
    <w:uiPriority w:val="0"/>
    <w:pPr>
      <w:ind w:firstLine="640" w:firstLineChars="200"/>
    </w:pPr>
  </w:style>
  <w:style w:type="paragraph" w:styleId="5">
    <w:name w:val="annotation subject"/>
    <w:next w:val="1"/>
    <w:qFormat/>
    <w:uiPriority w:val="0"/>
    <w:pPr>
      <w:widowControl w:val="0"/>
      <w:jc w:val="both"/>
    </w:pPr>
    <w:rPr>
      <w:rFonts w:ascii="Times New Roman" w:hAnsi="Times New Roman" w:eastAsia="宋体" w:cs="Times New Roman"/>
      <w:b/>
      <w:bCs/>
      <w:kern w:val="2"/>
      <w:sz w:val="21"/>
      <w:szCs w:val="24"/>
      <w:lang w:val="en-US" w:eastAsia="zh-CN" w:bidi="ar-SA"/>
    </w:rPr>
  </w:style>
  <w:style w:type="paragraph" w:styleId="6">
    <w:name w:val="Date"/>
    <w:basedOn w:val="1"/>
    <w:next w:val="1"/>
    <w:qFormat/>
    <w:uiPriority w:val="0"/>
    <w:pPr>
      <w:ind w:left="100" w:leftChars="2500"/>
    </w:pPr>
    <w:rPr>
      <w:rFonts w:ascii="Times New Roman" w:eastAsia="宋体"/>
    </w:rPr>
  </w:style>
  <w:style w:type="paragraph" w:styleId="7">
    <w:name w:val="Body Text Indent 2"/>
    <w:basedOn w:val="1"/>
    <w:next w:val="6"/>
    <w:qFormat/>
    <w:uiPriority w:val="0"/>
    <w:pPr>
      <w:ind w:firstLine="643" w:firstLineChars="200"/>
    </w:pPr>
  </w:style>
  <w:style w:type="paragraph" w:styleId="8">
    <w:name w:val="Body Text First Indent 2"/>
    <w:basedOn w:val="4"/>
    <w:qFormat/>
    <w:uiPriority w:val="0"/>
    <w:pPr>
      <w:spacing w:after="120"/>
      <w:ind w:left="420" w:leftChars="200" w:firstLine="420"/>
    </w:pPr>
  </w:style>
  <w:style w:type="paragraph" w:customStyle="1" w:styleId="11">
    <w:name w:val="正文文本_0"/>
    <w:next w:val="12"/>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2">
    <w:name w:val="正文_0_0"/>
    <w:next w:val="8"/>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6461</Words>
  <Characters>6790</Characters>
  <Lines>0</Lines>
  <Paragraphs>0</Paragraphs>
  <TotalTime>4</TotalTime>
  <ScaleCrop>false</ScaleCrop>
  <LinksUpToDate>false</LinksUpToDate>
  <CharactersWithSpaces>7923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dcterms:modified xsi:type="dcterms:W3CDTF">2024-12-23T08:09:49Z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063E4E4F6713408BA6D4B1006F5E1F37_11</vt:lpwstr>
  </property>
</Properties>
</file>