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360" w:lineRule="auto"/>
        <w:jc w:val="center"/>
        <w:rPr>
          <w:rFonts w:ascii="宋体" w:hAnsi="宋体" w:eastAsia="宋体" w:cs="宋体"/>
          <w:b/>
          <w:color w:val="auto"/>
          <w:sz w:val="48"/>
          <w:szCs w:val="48"/>
          <w:highlight w:val="none"/>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bCs/>
          <w:color w:val="auto"/>
          <w:spacing w:val="0"/>
          <w:w w:val="90"/>
          <w:sz w:val="60"/>
          <w:szCs w:val="60"/>
          <w:highlight w:val="none"/>
          <w:lang w:eastAsia="zh-CN"/>
        </w:rPr>
        <w:t>金坑景区停车场充电站配套项目</w:t>
      </w:r>
    </w:p>
    <w:p>
      <w:pPr>
        <w:overflowPunct w:val="0"/>
        <w:spacing w:line="360" w:lineRule="auto"/>
        <w:jc w:val="center"/>
        <w:rPr>
          <w:rFonts w:ascii="宋体" w:hAnsi="宋体" w:eastAsia="宋体" w:cs="宋体"/>
          <w:b/>
          <w:bCs/>
          <w:color w:val="auto"/>
          <w:spacing w:val="30"/>
          <w:w w:val="90"/>
          <w:sz w:val="52"/>
          <w:szCs w:val="52"/>
          <w:highlight w:val="none"/>
        </w:rPr>
      </w:pPr>
    </w:p>
    <w:p>
      <w:pPr>
        <w:overflowPunct w:val="0"/>
        <w:spacing w:line="360" w:lineRule="auto"/>
        <w:jc w:val="center"/>
        <w:rPr>
          <w:rFonts w:ascii="宋体" w:hAnsi="宋体" w:eastAsia="宋体" w:cs="宋体"/>
          <w:b/>
          <w:bCs/>
          <w:color w:val="auto"/>
          <w:spacing w:val="30"/>
          <w:w w:val="90"/>
          <w:sz w:val="52"/>
          <w:szCs w:val="52"/>
          <w:highlight w:val="none"/>
        </w:rPr>
      </w:pPr>
    </w:p>
    <w:p>
      <w:pPr>
        <w:overflowPunct w:val="0"/>
        <w:spacing w:line="360" w:lineRule="auto"/>
        <w:jc w:val="center"/>
        <w:rPr>
          <w:rFonts w:ascii="宋体" w:hAnsi="宋体" w:eastAsia="宋体" w:cs="宋体"/>
          <w:b/>
          <w:bCs/>
          <w:color w:val="auto"/>
          <w:spacing w:val="30"/>
          <w:w w:val="90"/>
          <w:sz w:val="52"/>
          <w:szCs w:val="52"/>
          <w:highlight w:val="none"/>
        </w:rPr>
      </w:pPr>
    </w:p>
    <w:p>
      <w:pPr>
        <w:overflowPunct w:val="0"/>
        <w:spacing w:line="360" w:lineRule="auto"/>
        <w:jc w:val="center"/>
        <w:rPr>
          <w:rFonts w:ascii="宋体" w:hAnsi="宋体" w:eastAsia="宋体" w:cs="宋体"/>
          <w:b/>
          <w:bCs/>
          <w:color w:val="auto"/>
          <w:spacing w:val="30"/>
          <w:w w:val="90"/>
          <w:sz w:val="52"/>
          <w:szCs w:val="52"/>
          <w:highlight w:val="none"/>
        </w:rPr>
      </w:pPr>
    </w:p>
    <w:p>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pPr>
        <w:overflowPunct w:val="0"/>
        <w:jc w:val="center"/>
        <w:rPr>
          <w:rFonts w:ascii="宋体" w:hAnsi="宋体" w:eastAsia="宋体" w:cs="宋体"/>
          <w:b/>
          <w:color w:val="auto"/>
          <w:sz w:val="28"/>
          <w:szCs w:val="28"/>
          <w:highlight w:val="none"/>
        </w:rPr>
      </w:pPr>
    </w:p>
    <w:p>
      <w:pPr>
        <w:overflowPunct w:val="0"/>
        <w:jc w:val="center"/>
        <w:rPr>
          <w:rFonts w:ascii="宋体" w:hAnsi="宋体" w:eastAsia="宋体" w:cs="宋体"/>
          <w:color w:val="auto"/>
          <w:sz w:val="44"/>
          <w:szCs w:val="44"/>
          <w:highlight w:val="none"/>
        </w:rPr>
      </w:pPr>
    </w:p>
    <w:p>
      <w:pPr>
        <w:overflowPunct w:val="0"/>
        <w:jc w:val="center"/>
        <w:rPr>
          <w:rFonts w:ascii="宋体" w:hAnsi="宋体" w:eastAsia="宋体" w:cs="宋体"/>
          <w:color w:val="auto"/>
          <w:sz w:val="44"/>
          <w:szCs w:val="44"/>
          <w:highlight w:val="none"/>
        </w:rPr>
      </w:pPr>
    </w:p>
    <w:p>
      <w:pPr>
        <w:overflowPunct w:val="0"/>
        <w:ind w:firstLine="420"/>
        <w:rPr>
          <w:rFonts w:ascii="宋体" w:hAnsi="宋体" w:eastAsia="宋体" w:cs="宋体"/>
          <w:color w:val="auto"/>
          <w:sz w:val="32"/>
          <w:highlight w:val="none"/>
        </w:rPr>
      </w:pPr>
    </w:p>
    <w:p>
      <w:pPr>
        <w:overflowPunct w:val="0"/>
        <w:rPr>
          <w:rFonts w:ascii="宋体" w:hAnsi="宋体" w:eastAsia="宋体" w:cs="宋体"/>
          <w:color w:val="auto"/>
          <w:sz w:val="32"/>
          <w:highlight w:val="none"/>
        </w:rPr>
      </w:pPr>
    </w:p>
    <w:p>
      <w:pPr>
        <w:overflowPunct w:val="0"/>
        <w:spacing w:line="1100" w:lineRule="exact"/>
        <w:ind w:firstLine="1606" w:firstLineChars="5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招 标 人：浏阳市文化旅游产业发展有限责任公司</w:t>
      </w:r>
    </w:p>
    <w:p>
      <w:pPr>
        <w:overflowPunct w:val="0"/>
        <w:spacing w:line="360" w:lineRule="auto"/>
        <w:ind w:firstLine="1606" w:firstLineChars="5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湖南淳晟项目管理有限公司</w:t>
      </w:r>
    </w:p>
    <w:p>
      <w:pPr>
        <w:spacing w:line="640" w:lineRule="exact"/>
        <w:jc w:val="center"/>
        <w:rPr>
          <w:rFonts w:ascii="宋体" w:hAnsi="宋体" w:eastAsia="宋体" w:cs="宋体"/>
          <w:bCs/>
          <w:color w:val="auto"/>
          <w:sz w:val="36"/>
          <w:szCs w:val="36"/>
          <w:highlight w:val="none"/>
        </w:rPr>
        <w:sectPr>
          <w:footerReference r:id="rId6" w:type="first"/>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r>
        <w:rPr>
          <w:rFonts w:hint="eastAsia" w:ascii="宋体" w:hAnsi="宋体" w:eastAsia="宋体" w:cs="宋体"/>
          <w:b/>
          <w:bCs/>
          <w:color w:val="auto"/>
          <w:sz w:val="32"/>
          <w:szCs w:val="32"/>
          <w:highlight w:val="none"/>
        </w:rPr>
        <w:t>二○二五年</w:t>
      </w:r>
      <w:r>
        <w:rPr>
          <w:rFonts w:hint="eastAsia" w:ascii="宋体" w:hAnsi="宋体" w:eastAsia="宋体" w:cs="宋体"/>
          <w:b/>
          <w:bCs/>
          <w:color w:val="auto"/>
          <w:sz w:val="32"/>
          <w:szCs w:val="32"/>
          <w:highlight w:val="none"/>
          <w:lang w:val="en-US" w:eastAsia="zh-CN"/>
        </w:rPr>
        <w:t>十一</w:t>
      </w:r>
      <w:r>
        <w:rPr>
          <w:rFonts w:hint="eastAsia" w:ascii="宋体" w:hAnsi="宋体" w:eastAsia="宋体" w:cs="宋体"/>
          <w:b/>
          <w:bCs/>
          <w:color w:val="auto"/>
          <w:sz w:val="32"/>
          <w:szCs w:val="32"/>
          <w:highlight w:val="none"/>
        </w:rPr>
        <w:t>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sz w:val="32"/>
          <w:szCs w:val="32"/>
        </w:rPr>
      </w:pPr>
      <w:r>
        <w:rPr>
          <w:rFonts w:hint="eastAsia" w:ascii="宋体" w:hAnsi="宋体" w:eastAsia="宋体" w:cs="宋体"/>
          <w:b/>
          <w:sz w:val="32"/>
          <w:szCs w:val="32"/>
          <w:lang w:eastAsia="zh-CN"/>
        </w:rPr>
        <w:t>金坑景区停车场充电站配套项目</w:t>
      </w:r>
      <w:r>
        <w:rPr>
          <w:rFonts w:hint="eastAsia" w:ascii="宋体" w:hAnsi="宋体" w:eastAsia="宋体" w:cs="宋体"/>
          <w:b/>
          <w:sz w:val="32"/>
          <w:szCs w:val="32"/>
        </w:rPr>
        <w:t>招标公告</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b/>
          <w:bCs/>
          <w:color w:val="auto"/>
          <w:sz w:val="24"/>
          <w:highlight w:val="none"/>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采购项目名称：</w:t>
      </w:r>
      <w:bookmarkStart w:id="0" w:name="OLE_LINK3"/>
      <w:r>
        <w:rPr>
          <w:rFonts w:hint="eastAsia" w:ascii="宋体" w:hAnsi="宋体" w:eastAsia="宋体" w:cs="宋体"/>
          <w:b w:val="0"/>
          <w:bCs w:val="0"/>
          <w:color w:val="auto"/>
          <w:sz w:val="24"/>
          <w:highlight w:val="none"/>
        </w:rPr>
        <w:t>金坑景区停车场充电站配套项目</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采购上限价及内容：</w:t>
      </w:r>
      <w:bookmarkStart w:id="1" w:name="OLE_LINK1"/>
    </w:p>
    <w:p>
      <w:pPr>
        <w:keepNext w:val="0"/>
        <w:keepLines w:val="0"/>
        <w:pageBreakBefore w:val="0"/>
        <w:kinsoku/>
        <w:wordWrap/>
        <w:overflowPunct/>
        <w:topLinePunct w:val="0"/>
        <w:autoSpaceDE/>
        <w:autoSpaceDN/>
        <w:bidi w:val="0"/>
        <w:snapToGrid/>
        <w:spacing w:line="4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2.1</w:t>
      </w:r>
      <w:r>
        <w:rPr>
          <w:rFonts w:hint="eastAsia" w:ascii="宋体" w:hAnsi="宋体" w:eastAsia="宋体" w:cs="宋体"/>
          <w:b/>
          <w:bCs/>
          <w:color w:val="auto"/>
          <w:spacing w:val="-2"/>
          <w:sz w:val="24"/>
          <w:highlight w:val="none"/>
        </w:rPr>
        <w:t>采购上限价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396407.63</w:t>
      </w:r>
      <w:r>
        <w:rPr>
          <w:rFonts w:hint="eastAsia" w:ascii="宋体" w:hAnsi="宋体" w:eastAsia="宋体" w:cs="宋体"/>
          <w:color w:val="auto"/>
          <w:sz w:val="24"/>
          <w:highlight w:val="none"/>
        </w:rPr>
        <w:t>元（总价和单价均不得超采购清单价，否则作否</w:t>
      </w:r>
    </w:p>
    <w:p>
      <w:pPr>
        <w:keepNext w:val="0"/>
        <w:keepLines w:val="0"/>
        <w:pageBreakBefore w:val="0"/>
        <w:kinsoku/>
        <w:wordWrap/>
        <w:overflowPunct/>
        <w:topLinePunct w:val="0"/>
        <w:autoSpaceDE/>
        <w:autoSpaceDN/>
        <w:bidi w:val="0"/>
        <w:snapToGrid/>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决投标处理）。</w:t>
      </w:r>
    </w:p>
    <w:p>
      <w:pPr>
        <w:keepNext w:val="0"/>
        <w:keepLines w:val="0"/>
        <w:pageBreakBefore w:val="0"/>
        <w:kinsoku/>
        <w:wordWrap/>
        <w:overflowPunct/>
        <w:topLinePunct w:val="0"/>
        <w:autoSpaceDE/>
        <w:autoSpaceDN/>
        <w:bidi w:val="0"/>
        <w:snapToGrid/>
        <w:spacing w:line="420" w:lineRule="exact"/>
        <w:ind w:firstLine="474" w:firstLineChars="200"/>
        <w:rPr>
          <w:rFonts w:hint="eastAsia" w:ascii="宋体" w:hAnsi="宋体" w:eastAsia="宋体" w:cs="宋体"/>
          <w:color w:val="auto"/>
          <w:sz w:val="24"/>
          <w:highlight w:val="none"/>
        </w:rPr>
      </w:pPr>
      <w:r>
        <w:rPr>
          <w:rFonts w:hint="eastAsia" w:ascii="宋体" w:hAnsi="宋体" w:eastAsia="宋体" w:cs="宋体"/>
          <w:b/>
          <w:bCs/>
          <w:color w:val="auto"/>
          <w:spacing w:val="-2"/>
          <w:sz w:val="24"/>
          <w:highlight w:val="none"/>
        </w:rPr>
        <w:t>2.2采购内容：</w:t>
      </w:r>
      <w:bookmarkEnd w:id="1"/>
      <w:r>
        <w:rPr>
          <w:rFonts w:hint="eastAsia" w:ascii="宋体" w:hAnsi="宋体" w:eastAsia="宋体" w:cs="宋体"/>
          <w:color w:val="auto"/>
          <w:sz w:val="24"/>
          <w:highlight w:val="none"/>
        </w:rPr>
        <w:t>金坑景区停车场充电站配套项目，采购内容包括但不限于120kW一体式直流充电桩2台、交流桩2台、400KVA箱变式变压器1座、监控、广告等相关设施设备，详见采购清单。</w:t>
      </w:r>
    </w:p>
    <w:p>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三、投标人的资格要求</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3.1、基本资格条件</w:t>
      </w:r>
    </w:p>
    <w:p>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投标人需具备《中华人民共和国政府采购法》第二十二条规定的基本资格条件，并提供以下资格证明文件：</w:t>
      </w:r>
    </w:p>
    <w:p>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（1）法人提交企业法人营业执照副本(或者事业单位法人证书)以及组织机构代码证副本复印件；</w:t>
      </w:r>
    </w:p>
    <w:p>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（2）依法缴纳税收的证明材料：提供下列材料之一：</w:t>
      </w:r>
    </w:p>
    <w:p>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（3）法人提交法定代表人身份证明原件或者法定代表人授权委托书原件及被授权人在投标人近三个月内任意一个月的社保证明并附法定代表人身份证明原件；</w:t>
      </w:r>
    </w:p>
    <w:p>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（4）其他说明：</w:t>
      </w:r>
    </w:p>
    <w:p>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①前文所称“近三个月”特指2025年</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月至2025年</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月。</w:t>
      </w:r>
    </w:p>
    <w:p>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②投标人具有实行了“三证合一”登记制度改革的新证，视同为持有工商营业执照、组织机构代码证和税务登记证，符合基本资格条件的相关条款。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3.2、投标人特定资格条件：</w:t>
      </w:r>
      <w:r>
        <w:rPr>
          <w:rFonts w:hint="eastAsia" w:ascii="宋体" w:hAnsi="宋体" w:eastAsia="宋体" w:cs="宋体"/>
          <w:b/>
          <w:bCs/>
          <w:color w:val="auto"/>
          <w:spacing w:val="-2"/>
          <w:sz w:val="24"/>
          <w:highlight w:val="none"/>
        </w:rPr>
        <w:t>无。</w:t>
      </w:r>
    </w:p>
    <w:p>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3.3、联合体投标。本次招标不接受联合体投标。</w:t>
      </w:r>
    </w:p>
    <w:p>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3.4、投标截止时间：</w:t>
      </w:r>
      <w:bookmarkStart w:id="2" w:name="OLE_LINK7"/>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日</w:t>
      </w:r>
      <w:bookmarkEnd w:id="2"/>
      <w:r>
        <w:rPr>
          <w:rFonts w:hint="eastAsia" w:ascii="宋体" w:hAnsi="宋体" w:eastAsia="宋体" w:cs="宋体"/>
          <w:color w:val="auto"/>
          <w:sz w:val="24"/>
          <w:highlight w:val="none"/>
          <w:u w:val="single"/>
          <w:lang w:val="en-US" w:eastAsia="zh-CN"/>
        </w:rPr>
        <w:t>14：00</w:t>
      </w:r>
      <w:r>
        <w:rPr>
          <w:rFonts w:hint="eastAsia" w:ascii="宋体" w:hAnsi="宋体" w:eastAsia="宋体" w:cs="宋体"/>
          <w:color w:val="auto"/>
          <w:sz w:val="24"/>
          <w:highlight w:val="none"/>
          <w:u w:val="single"/>
        </w:rPr>
        <w:t>（北京时间）</w:t>
      </w:r>
    </w:p>
    <w:p>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递交投标文件地点：浏阳市人民东路60号2楼202室</w:t>
      </w:r>
    </w:p>
    <w:p>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3.5、开标时间：</w:t>
      </w:r>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14：00</w:t>
      </w:r>
      <w:r>
        <w:rPr>
          <w:rFonts w:hint="eastAsia" w:ascii="宋体" w:hAnsi="宋体" w:eastAsia="宋体" w:cs="宋体"/>
          <w:color w:val="auto"/>
          <w:sz w:val="24"/>
          <w:highlight w:val="none"/>
          <w:u w:val="single"/>
        </w:rPr>
        <w:t>（北京时间）</w:t>
      </w:r>
    </w:p>
    <w:p>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开标地点：浏阳市人民东路60号2楼202室</w:t>
      </w:r>
    </w:p>
    <w:p>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3.6、投标人要求澄清招标文件：投标人若对招标文件有任何疑问，应于</w:t>
      </w:r>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 xml:space="preserve">  11</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日17:00</w:t>
      </w:r>
      <w:r>
        <w:rPr>
          <w:rFonts w:hint="eastAsia" w:ascii="宋体" w:hAnsi="宋体" w:eastAsia="宋体" w:cs="宋体"/>
          <w:color w:val="auto"/>
          <w:sz w:val="24"/>
          <w:highlight w:val="none"/>
        </w:rPr>
        <w:t>（北京时间）前以不署名的方式发送至</w:t>
      </w:r>
      <w:r>
        <w:rPr>
          <w:rFonts w:hint="eastAsia" w:ascii="宋体" w:hAnsi="宋体" w:eastAsia="宋体" w:cs="宋体"/>
          <w:color w:val="auto"/>
          <w:sz w:val="24"/>
          <w:highlight w:val="none"/>
          <w:lang w:val="en-US" w:eastAsia="zh-CN"/>
        </w:rPr>
        <w:t>294071358</w:t>
      </w:r>
      <w:r>
        <w:rPr>
          <w:rFonts w:hint="eastAsia" w:ascii="宋体" w:hAnsi="宋体" w:eastAsia="宋体" w:cs="宋体"/>
          <w:color w:val="auto"/>
          <w:sz w:val="24"/>
          <w:highlight w:val="none"/>
        </w:rPr>
        <w:t>@qq.com（邮件主题需填写该项目名称），过期不予受理。</w:t>
      </w:r>
    </w:p>
    <w:p>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3.7招标澄清公告在浏阳市城乡发展集团有限责任公司官网（http://www.liufajituan.com/）发布，投标人自行在上述网站下载，敬请关注，恕不另行通知，如有遗漏，招标人概不负责。</w:t>
      </w:r>
    </w:p>
    <w:p>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3.8、开标时查验：法人代表授权委托书、法定代表人身份证明和被授权人有效身份证原件及被授权人在投标人近三个月内任意一个月的社保证明。</w:t>
      </w:r>
    </w:p>
    <w:p>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Start w:id="3" w:name="_Toc3730"/>
      <w:r>
        <w:rPr>
          <w:rFonts w:hint="eastAsia" w:ascii="宋体" w:hAnsi="宋体" w:eastAsia="宋体" w:cs="宋体"/>
          <w:b/>
          <w:bCs/>
          <w:color w:val="auto"/>
          <w:sz w:val="24"/>
          <w:highlight w:val="none"/>
        </w:rPr>
        <w:t>评标办法：最低评标价法。</w:t>
      </w:r>
      <w:bookmarkEnd w:id="3"/>
    </w:p>
    <w:p>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五、</w:t>
      </w:r>
      <w:bookmarkEnd w:id="0"/>
      <w:r>
        <w:rPr>
          <w:rFonts w:hint="eastAsia" w:ascii="宋体" w:hAnsi="宋体" w:eastAsia="宋体" w:cs="宋体"/>
          <w:b/>
          <w:bCs/>
          <w:color w:val="auto"/>
          <w:sz w:val="24"/>
          <w:highlight w:val="none"/>
        </w:rPr>
        <w:t>获取招标文件</w:t>
      </w:r>
    </w:p>
    <w:p>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6.1、凡符合投标资格要求并有意参加投标者，登录浏阳市城乡发展集团有限责任公司官网（http：//www.liufajituan.com/）免费下载招标文件。</w:t>
      </w:r>
    </w:p>
    <w:p>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6.2、各投标人自行在以上网站下载或查阅招标相关文件和资料等，恕不另行通知，如有遗漏招标采购单位概不负责。</w:t>
      </w:r>
    </w:p>
    <w:p>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六、联系方式：</w:t>
      </w:r>
      <w:r>
        <w:rPr>
          <w:rFonts w:hint="eastAsia" w:ascii="宋体" w:hAnsi="宋体" w:eastAsia="宋体" w:cs="宋体"/>
          <w:color w:val="auto"/>
          <w:sz w:val="24"/>
          <w:highlight w:val="none"/>
        </w:rPr>
        <w:t>有关此次采购事宜，可向下列单位查询：</w:t>
      </w:r>
    </w:p>
    <w:p>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人：浏阳市文化旅游产业发展有限责任公司</w:t>
      </w:r>
    </w:p>
    <w:p>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联系人：易女士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电话：0731-83648668</w:t>
      </w:r>
    </w:p>
    <w:p>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pPr>
        <w:keepNext w:val="0"/>
        <w:keepLines w:val="0"/>
        <w:pageBreakBefore w:val="0"/>
        <w:tabs>
          <w:tab w:val="left" w:pos="364"/>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r>
        <w:rPr>
          <w:rFonts w:hint="eastAsia" w:ascii="宋体" w:hAnsi="宋体" w:eastAsia="宋体" w:cs="宋体"/>
          <w:color w:val="auto"/>
          <w:sz w:val="24"/>
          <w:highlight w:val="none"/>
        </w:rPr>
        <w:t>2025年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日</w:t>
      </w:r>
    </w:p>
    <w:p>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p>
    <w:p>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widowControl/>
        <w:shd w:val="clear" w:color="auto" w:fill="FFFFFF"/>
        <w:spacing w:before="100" w:beforeAutospacing="1" w:after="100" w:afterAutospacing="1" w:line="360" w:lineRule="auto"/>
        <w:jc w:val="center"/>
        <w:rPr>
          <w:rFonts w:ascii="宋体" w:hAnsi="宋体" w:eastAsia="宋体" w:cs="宋体"/>
          <w:bCs/>
          <w:color w:val="auto"/>
          <w:kern w:val="0"/>
          <w:sz w:val="36"/>
          <w:szCs w:val="36"/>
          <w:highlight w:val="none"/>
        </w:rPr>
      </w:pPr>
      <w:r>
        <w:rPr>
          <w:rFonts w:hint="eastAsia" w:ascii="宋体" w:hAnsi="宋体" w:eastAsia="宋体" w:cs="宋体"/>
          <w:b/>
          <w:bCs/>
          <w:color w:val="auto"/>
          <w:sz w:val="36"/>
          <w:szCs w:val="36"/>
          <w:highlight w:val="none"/>
          <w:lang w:eastAsia="zh-CN"/>
        </w:rPr>
        <w:t>金坑景区停车场充电站配套项目</w:t>
      </w:r>
      <w:r>
        <w:rPr>
          <w:rFonts w:hint="eastAsia" w:ascii="宋体" w:hAnsi="宋体" w:eastAsia="宋体" w:cs="宋体"/>
          <w:b/>
          <w:bCs/>
          <w:color w:val="auto"/>
          <w:kern w:val="0"/>
          <w:sz w:val="36"/>
          <w:szCs w:val="36"/>
          <w:highlight w:val="none"/>
        </w:rPr>
        <w:t>招标文件</w:t>
      </w:r>
    </w:p>
    <w:p>
      <w:pPr>
        <w:wordWrap w:val="0"/>
        <w:spacing w:line="48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rPr>
        <w:t>湖南淳晟项目管理有限公司</w:t>
      </w:r>
      <w:r>
        <w:rPr>
          <w:rFonts w:hint="eastAsia" w:ascii="宋体" w:hAnsi="宋体" w:eastAsia="宋体" w:cs="宋体"/>
          <w:color w:val="auto"/>
          <w:kern w:val="0"/>
          <w:sz w:val="24"/>
          <w:highlight w:val="none"/>
        </w:rPr>
        <w:t>受浏阳市文化旅游产业发展有限责任公司委托，就其</w:t>
      </w:r>
      <w:r>
        <w:rPr>
          <w:rFonts w:hint="eastAsia" w:ascii="宋体" w:hAnsi="宋体" w:eastAsia="宋体" w:cs="宋体"/>
          <w:color w:val="auto"/>
          <w:sz w:val="24"/>
          <w:highlight w:val="none"/>
          <w:lang w:eastAsia="zh-CN"/>
        </w:rPr>
        <w:t>金坑景区停车场充电站配套项目</w:t>
      </w:r>
      <w:r>
        <w:rPr>
          <w:rFonts w:hint="eastAsia" w:ascii="宋体" w:hAnsi="宋体" w:eastAsia="宋体" w:cs="宋体"/>
          <w:color w:val="auto"/>
          <w:kern w:val="0"/>
          <w:sz w:val="24"/>
          <w:highlight w:val="none"/>
        </w:rPr>
        <w:t>进行采购，现进行公开招标。</w:t>
      </w:r>
    </w:p>
    <w:p>
      <w:pPr>
        <w:numPr>
          <w:ilvl w:val="0"/>
          <w:numId w:val="0"/>
        </w:numPr>
        <w:spacing w:line="520" w:lineRule="exact"/>
        <w:ind w:firstLine="482" w:firstLineChars="200"/>
        <w:rPr>
          <w:rFonts w:ascii="宋体" w:hAnsi="宋体" w:eastAsia="宋体" w:cs="宋体"/>
          <w:b w:val="0"/>
          <w:bCs w:val="0"/>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招标范围及内容：</w:t>
      </w:r>
      <w:r>
        <w:rPr>
          <w:rFonts w:hint="eastAsia" w:ascii="宋体" w:hAnsi="宋体" w:eastAsia="宋体" w:cs="宋体"/>
          <w:b w:val="0"/>
          <w:bCs w:val="0"/>
          <w:color w:val="auto"/>
          <w:sz w:val="24"/>
          <w:highlight w:val="none"/>
        </w:rPr>
        <w:t>金坑景区停车场充电站配套项目，采购内容包括但不限于120kW一体式直流充电桩2台、交流桩2台、400KVA箱变式变压器1座、监控、广告等相关设施设备，详见采购清单。</w:t>
      </w:r>
    </w:p>
    <w:p>
      <w:pPr>
        <w:numPr>
          <w:ilvl w:val="0"/>
          <w:numId w:val="0"/>
        </w:numPr>
        <w:spacing w:line="5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：浏阳市内。</w:t>
      </w:r>
    </w:p>
    <w:p>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rPr>
        <w:t>采购单位自筹。</w:t>
      </w:r>
    </w:p>
    <w:p>
      <w:pPr>
        <w:numPr>
          <w:ilvl w:val="0"/>
          <w:numId w:val="0"/>
        </w:num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四、服务工期：</w:t>
      </w:r>
      <w:r>
        <w:rPr>
          <w:rFonts w:hint="eastAsia" w:ascii="宋体" w:hAnsi="宋体" w:eastAsia="宋体" w:cs="宋体"/>
          <w:color w:val="auto"/>
          <w:sz w:val="24"/>
          <w:highlight w:val="none"/>
          <w:lang w:val="en-US" w:eastAsia="zh-CN"/>
        </w:rPr>
        <w:t>10日历天</w:t>
      </w:r>
      <w:r>
        <w:rPr>
          <w:rFonts w:hint="eastAsia" w:ascii="宋体" w:hAnsi="宋体" w:eastAsia="宋体" w:cs="宋体"/>
          <w:color w:val="auto"/>
          <w:sz w:val="24"/>
          <w:highlight w:val="none"/>
        </w:rPr>
        <w:t>。</w:t>
      </w:r>
    </w:p>
    <w:p>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rPr>
        <w:t>质量要求：</w:t>
      </w:r>
      <w:r>
        <w:rPr>
          <w:rFonts w:hint="eastAsia" w:ascii="宋体" w:hAnsi="宋体" w:eastAsia="宋体" w:cs="宋体"/>
          <w:color w:val="auto"/>
          <w:kern w:val="0"/>
          <w:sz w:val="24"/>
          <w:highlight w:val="none"/>
        </w:rPr>
        <w:t>合格。</w:t>
      </w:r>
    </w:p>
    <w:p>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六、</w:t>
      </w:r>
      <w:r>
        <w:rPr>
          <w:rFonts w:hint="eastAsia" w:ascii="宋体" w:hAnsi="宋体" w:eastAsia="宋体" w:cs="宋体"/>
          <w:b/>
          <w:bCs/>
          <w:color w:val="auto"/>
          <w:kern w:val="0"/>
          <w:sz w:val="24"/>
          <w:highlight w:val="none"/>
        </w:rPr>
        <w:t>质保期：</w:t>
      </w:r>
      <w:r>
        <w:rPr>
          <w:rFonts w:hint="eastAsia" w:ascii="宋体" w:hAnsi="宋体" w:eastAsia="宋体" w:cs="宋体"/>
          <w:b w:val="0"/>
          <w:bCs w:val="0"/>
          <w:color w:val="auto"/>
          <w:kern w:val="0"/>
          <w:sz w:val="24"/>
          <w:highlight w:val="none"/>
        </w:rPr>
        <w:t>项目整体质保期为2年，其中充电桩质保期8年。</w:t>
      </w:r>
    </w:p>
    <w:p>
      <w:pPr>
        <w:spacing w:line="520" w:lineRule="exact"/>
        <w:ind w:firstLine="641" w:firstLineChars="266"/>
        <w:rPr>
          <w:rFonts w:ascii="宋体" w:hAnsi="宋体" w:eastAsia="宋体" w:cs="宋体"/>
          <w:b/>
          <w:bCs/>
          <w:color w:val="auto"/>
          <w:sz w:val="24"/>
          <w:highlight w:val="none"/>
        </w:rPr>
      </w:pPr>
      <w:r>
        <w:rPr>
          <w:rFonts w:hint="eastAsia" w:ascii="宋体" w:hAnsi="宋体" w:eastAsia="宋体" w:cs="宋体"/>
          <w:b/>
          <w:bCs/>
          <w:color w:val="auto"/>
          <w:sz w:val="24"/>
          <w:highlight w:val="none"/>
        </w:rPr>
        <w:t>七、投标资格要求</w:t>
      </w:r>
    </w:p>
    <w:p>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7.1、基本资格条件：</w:t>
      </w:r>
    </w:p>
    <w:p>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（1）法人提交企业法人营业执照副本(或者法人登记证书)以及组织机构代码证副本复印件；</w:t>
      </w:r>
    </w:p>
    <w:p>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（2）依法缴纳税收的证明材料，提供下列材料之一：</w:t>
      </w:r>
    </w:p>
    <w:p>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缴纳税收证明资料：《税务登记证》复印件，或者近三个月内任意一个月（2025年</w:t>
      </w:r>
      <w:r>
        <w:rPr>
          <w:rFonts w:hint="eastAsia" w:ascii="宋体" w:hAnsi="宋体" w:eastAsia="宋体" w:cs="宋体"/>
          <w:color w:val="auto"/>
          <w:spacing w:val="-2"/>
          <w:kern w:val="0"/>
          <w:sz w:val="24"/>
          <w:highlight w:val="none"/>
          <w:lang w:val="en-US" w:eastAsia="zh-CN"/>
        </w:rPr>
        <w:t>8</w:t>
      </w:r>
      <w:r>
        <w:rPr>
          <w:rFonts w:hint="eastAsia" w:ascii="宋体" w:hAnsi="宋体" w:eastAsia="宋体" w:cs="宋体"/>
          <w:color w:val="auto"/>
          <w:spacing w:val="-2"/>
          <w:kern w:val="0"/>
          <w:sz w:val="24"/>
          <w:highlight w:val="none"/>
        </w:rPr>
        <w:t>月至2025年</w:t>
      </w:r>
      <w:r>
        <w:rPr>
          <w:rFonts w:hint="eastAsia" w:ascii="宋体" w:hAnsi="宋体" w:eastAsia="宋体" w:cs="宋体"/>
          <w:color w:val="auto"/>
          <w:spacing w:val="-2"/>
          <w:kern w:val="0"/>
          <w:sz w:val="24"/>
          <w:highlight w:val="none"/>
          <w:lang w:val="en-US" w:eastAsia="zh-CN"/>
        </w:rPr>
        <w:t>10</w:t>
      </w:r>
      <w:r>
        <w:rPr>
          <w:rFonts w:hint="eastAsia" w:ascii="宋体" w:hAnsi="宋体" w:eastAsia="宋体" w:cs="宋体"/>
          <w:color w:val="auto"/>
          <w:spacing w:val="-2"/>
          <w:kern w:val="0"/>
          <w:sz w:val="24"/>
          <w:highlight w:val="none"/>
        </w:rPr>
        <w:t>月）依法缴纳税收的证明（纳税凭证复印件），或者委托他人缴纳的委托代办协议和近三个月内任意一个月（2025年</w:t>
      </w:r>
      <w:r>
        <w:rPr>
          <w:rFonts w:hint="eastAsia" w:ascii="宋体" w:hAnsi="宋体" w:eastAsia="宋体" w:cs="宋体"/>
          <w:color w:val="auto"/>
          <w:spacing w:val="-2"/>
          <w:kern w:val="0"/>
          <w:sz w:val="24"/>
          <w:highlight w:val="none"/>
          <w:lang w:val="en-US" w:eastAsia="zh-CN"/>
        </w:rPr>
        <w:t>8</w:t>
      </w:r>
      <w:r>
        <w:rPr>
          <w:rFonts w:hint="eastAsia" w:ascii="宋体" w:hAnsi="宋体" w:eastAsia="宋体" w:cs="宋体"/>
          <w:color w:val="auto"/>
          <w:spacing w:val="-2"/>
          <w:kern w:val="0"/>
          <w:sz w:val="24"/>
          <w:highlight w:val="none"/>
        </w:rPr>
        <w:t>月至2025年</w:t>
      </w:r>
      <w:r>
        <w:rPr>
          <w:rFonts w:hint="eastAsia" w:ascii="宋体" w:hAnsi="宋体" w:eastAsia="宋体" w:cs="宋体"/>
          <w:color w:val="auto"/>
          <w:spacing w:val="-2"/>
          <w:kern w:val="0"/>
          <w:sz w:val="24"/>
          <w:highlight w:val="none"/>
          <w:lang w:val="en-US" w:eastAsia="zh-CN"/>
        </w:rPr>
        <w:t>10</w:t>
      </w:r>
      <w:r>
        <w:rPr>
          <w:rFonts w:hint="eastAsia" w:ascii="宋体" w:hAnsi="宋体" w:eastAsia="宋体" w:cs="宋体"/>
          <w:color w:val="auto"/>
          <w:spacing w:val="-2"/>
          <w:kern w:val="0"/>
          <w:sz w:val="24"/>
          <w:highlight w:val="none"/>
        </w:rPr>
        <w:t>月）的缴纳证明（收据复印件），或者法定征收机关出具的依法免缴税收的证明原件。</w:t>
      </w:r>
    </w:p>
    <w:p>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（3）法定代表人提交法定代表人身份证明，或者法定代表人授权委托人提交附有法定代表人身份证明的授权委托书及被授权人在投标人近三个月内任意一个月的社保证明；</w:t>
      </w:r>
    </w:p>
    <w:p>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注：投标人具有实行了“三证合一”登记制度改革的新证，视同为持有工商营业执照、组织机构代码证和税务登记证，符合基本资格条件的相关条款。</w:t>
      </w:r>
    </w:p>
    <w:p>
      <w:pPr>
        <w:widowControl/>
        <w:shd w:val="clear" w:color="auto" w:fill="FFFFFF"/>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7.2、特定资格条件：</w:t>
      </w:r>
      <w:r>
        <w:rPr>
          <w:rFonts w:hint="eastAsia" w:ascii="宋体" w:hAnsi="宋体" w:eastAsia="宋体" w:cs="宋体"/>
          <w:b/>
          <w:bCs/>
          <w:color w:val="auto"/>
          <w:spacing w:val="-2"/>
          <w:sz w:val="24"/>
          <w:highlight w:val="none"/>
        </w:rPr>
        <w:t>无。</w:t>
      </w:r>
    </w:p>
    <w:p>
      <w:pPr>
        <w:widowControl/>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7.3、投标人有下列情形之一的，视为无效投标：</w:t>
      </w:r>
    </w:p>
    <w:p>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pPr>
        <w:widowControl/>
        <w:spacing w:line="520" w:lineRule="exact"/>
        <w:ind w:firstLine="472" w:firstLineChars="200"/>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pPr>
        <w:widowControl/>
        <w:spacing w:line="520" w:lineRule="exact"/>
        <w:ind w:firstLine="474" w:firstLineChars="200"/>
        <w:rPr>
          <w:rFonts w:ascii="宋体" w:hAnsi="宋体" w:eastAsia="宋体" w:cs="宋体"/>
          <w:color w:val="auto"/>
          <w:sz w:val="24"/>
          <w:highlight w:val="none"/>
        </w:rPr>
      </w:pPr>
      <w:r>
        <w:rPr>
          <w:rFonts w:hint="eastAsia" w:ascii="宋体" w:hAnsi="宋体" w:eastAsia="宋体" w:cs="宋体"/>
          <w:b/>
          <w:bCs/>
          <w:color w:val="auto"/>
          <w:spacing w:val="-2"/>
          <w:sz w:val="24"/>
          <w:highlight w:val="none"/>
        </w:rPr>
        <w:t>八、</w:t>
      </w:r>
      <w:bookmarkStart w:id="4"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：396407.63元（总价和单价均不得超采购清单价，否则作否决投标处理）</w:t>
      </w:r>
      <w:r>
        <w:rPr>
          <w:rFonts w:hint="eastAsia" w:ascii="宋体" w:hAnsi="宋体" w:eastAsia="宋体" w:cs="宋体"/>
          <w:color w:val="auto"/>
          <w:sz w:val="24"/>
          <w:highlight w:val="none"/>
        </w:rPr>
        <w:t>。</w:t>
      </w:r>
      <w:bookmarkEnd w:id="4"/>
    </w:p>
    <w:p>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九、9.1、交货地点：投标人按要求将货品送至招标人指定地点，并保留全程验收视频资料。</w:t>
      </w:r>
    </w:p>
    <w:p>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9.2、付款方式：</w:t>
      </w:r>
      <w:bookmarkStart w:id="5" w:name="_Toc401742306"/>
      <w:bookmarkStart w:id="6" w:name="_Toc359570304"/>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1、所有设备安装调试完毕，预验收合格后 30 日内支付合同金额的60%；项目正式验收合格，乙方提交完整结算资料经甲方审计完成后30日内支付至审计金额的95%，余款在整体质保期满且无质量问题、售后服务纠纷、以及其他经济法律纠纷后一个月内付清（不计息）。</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2、质量保证金按采购安装造价的5%提取，待缺陷责任期满后确认无质量问题1月后退还（不计息）。</w:t>
      </w:r>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9.3、供货要求及相关标准</w:t>
      </w:r>
      <w:r>
        <w:rPr>
          <w:rFonts w:hint="eastAsia" w:ascii="宋体" w:hAnsi="宋体" w:eastAsia="宋体" w:cs="宋体"/>
          <w:b/>
          <w:color w:val="auto"/>
          <w:sz w:val="24"/>
          <w:szCs w:val="24"/>
          <w:highlight w:val="none"/>
          <w:lang w:eastAsia="zh-CN"/>
        </w:rPr>
        <w:t>：</w:t>
      </w:r>
    </w:p>
    <w:p>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1、供应商提供的箱变、充电桩等设备必须安全、可靠、稳定运行，有充分的技术措施保证供配电及充电系统安全。</w:t>
      </w:r>
    </w:p>
    <w:p>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2、供应商供货范围包含但不限于清单范围内的设备（货物）供货、施工安装以及现场调试，直至达到使用交付条件及验收标准。</w:t>
      </w:r>
    </w:p>
    <w:p>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3、充电桩及附属设施应外形美观，并融入采购人企业文化及标志，外形设计方案须经采购人审定。</w:t>
      </w:r>
    </w:p>
    <w:p>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要求供应商响应所投标的充电桩必须自行接入采购人现行使用的充电运营平台，符合采购人现行充电桩平台通信协议标准，必须在充电站通电之前完成，延迟1天接入平台按4000元/天进行罚款，影响项目正常投入使用的，采购方有权终止采购合同，并追偿，通电时间以国网公司送电时间为准。★</w:t>
      </w:r>
    </w:p>
    <w:p>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4、要求供应商响应具备对采购人现行使用的充电运营平台进行升级的能力，包括不限于银行支付接口开发、自动开票、接入高德地图等。★</w:t>
      </w:r>
    </w:p>
    <w:p>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要求中标（成交）供应商必须自行将所有监控接入采购人现行使用智慧停车管理平台，必须在充电站通电之前完成，延迟1天接入平台按4000元/天进行罚款，影响项目正常投入使用的，采购方有权终止采购合同，并追偿，通电时间以国网公司送电时间为准。★</w:t>
      </w:r>
    </w:p>
    <w:p>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中标（成交）供应商必须在采购人所在市区建立售后维护点，在充电桩质保期内长驻三名及以上售后维护人员，每月至少主动巡检一次（需提供现场打卡，经采购人确认），对所售充电桩设备进行技术升级及维修维保，并免费协助采购人运营充电站，服务期限跟质保期保持一致。★</w:t>
      </w:r>
    </w:p>
    <w:p>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7、要求中标（成交）供应商在合同签署之日起 10 天内完成所有采购内容并投入使用。★</w:t>
      </w:r>
    </w:p>
    <w:p>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8、中标（成交）供应商必须无条件配合采购人通过第三方机构验收，并取得公共充电基础设施建设奖补资金（如有）。★</w:t>
      </w:r>
    </w:p>
    <w:p>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9、为了保障充电站长期稳定地运行，项目采购核心产品为充电桩，要求质保8年，其他产品质保按照现行货物采购的通行标准。★</w:t>
      </w:r>
    </w:p>
    <w:p>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清单中已列出主要设备材料，为满足技术参数要求所需的其他辅助材料设备、设备吊装、大型机械设备台班费等请在投标报价时综合考虑，投标报价需包含所有设备采购（含安装）、接入现行智慧停车平台、接入充电运营平台费用、充电运营平台升级、设备调试及其他协调等一切费用。</w:t>
      </w:r>
    </w:p>
    <w:p>
      <w:pPr>
        <w:numPr>
          <w:ilvl w:val="0"/>
          <w:numId w:val="0"/>
        </w:num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十、其他要求：</w:t>
      </w:r>
    </w:p>
    <w:p>
      <w:pPr>
        <w:adjustRightInd w:val="0"/>
        <w:spacing w:line="520" w:lineRule="exact"/>
        <w:ind w:firstLine="482" w:firstLineChars="200"/>
        <w:rPr>
          <w:rFonts w:ascii="宋体" w:hAnsi="宋体" w:eastAsia="宋体" w:cs="宋体"/>
          <w:b/>
          <w:bCs w:val="0"/>
          <w:color w:val="auto"/>
          <w:sz w:val="24"/>
          <w:highlight w:val="none"/>
        </w:rPr>
      </w:pPr>
      <w:r>
        <w:rPr>
          <w:rFonts w:hint="eastAsia" w:ascii="宋体" w:hAnsi="宋体" w:eastAsia="宋体" w:cs="宋体"/>
          <w:b/>
          <w:bCs w:val="0"/>
          <w:color w:val="auto"/>
          <w:sz w:val="24"/>
          <w:highlight w:val="none"/>
        </w:rPr>
        <w:t>10.1、验收</w:t>
      </w:r>
    </w:p>
    <w:p>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（2）隐蔽工程验收。采购项目涉及隐蔽工程验收和计量的应按照建设工程的管理规定，对隐蔽工程进行验收和计量后， 才能进行覆盖，以及下一道工序施工。</w:t>
      </w:r>
    </w:p>
    <w:p>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pPr>
        <w:adjustRightInd w:val="0"/>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szCs w:val="24"/>
          <w:highlight w:val="none"/>
          <w:lang w:val="en-US" w:eastAsia="zh-CN"/>
        </w:rPr>
        <w:t>试运行验收，试运行3个月。试运行合格后，由使用部门签署试运行合格记录；试运行不合格的，要求限期整改，直至合格为止。</w:t>
      </w:r>
      <w:r>
        <w:rPr>
          <w:rFonts w:hint="eastAsia" w:ascii="宋体" w:hAnsi="宋体" w:eastAsia="宋体" w:cs="宋体"/>
          <w:color w:val="auto"/>
          <w:sz w:val="24"/>
          <w:szCs w:val="24"/>
          <w:highlight w:val="none"/>
          <w:lang w:val="en-US" w:eastAsia="zh-CN"/>
        </w:rPr>
        <w:tab/>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pPr>
        <w:adjustRightInd w:val="0"/>
        <w:spacing w:line="520" w:lineRule="exact"/>
        <w:ind w:firstLine="482" w:firstLineChars="200"/>
        <w:rPr>
          <w:rFonts w:ascii="宋体" w:hAnsi="宋体" w:eastAsia="宋体" w:cs="宋体"/>
          <w:b/>
          <w:bCs w:val="0"/>
          <w:color w:val="auto"/>
          <w:sz w:val="24"/>
          <w:highlight w:val="none"/>
        </w:rPr>
      </w:pPr>
      <w:r>
        <w:rPr>
          <w:rFonts w:hint="eastAsia" w:ascii="宋体" w:hAnsi="宋体" w:eastAsia="宋体" w:cs="宋体"/>
          <w:b/>
          <w:bCs w:val="0"/>
          <w:color w:val="auto"/>
          <w:sz w:val="24"/>
          <w:highlight w:val="none"/>
        </w:rPr>
        <w:t>10.2、</w:t>
      </w:r>
      <w:r>
        <w:rPr>
          <w:rFonts w:hint="eastAsia" w:ascii="宋体" w:hAnsi="宋体" w:eastAsia="宋体" w:cs="宋体"/>
          <w:b/>
          <w:bCs w:val="0"/>
          <w:color w:val="auto"/>
          <w:sz w:val="24"/>
          <w:highlight w:val="none"/>
        </w:rPr>
        <w:tab/>
      </w:r>
      <w:r>
        <w:rPr>
          <w:rFonts w:hint="eastAsia" w:ascii="宋体" w:hAnsi="宋体" w:eastAsia="宋体" w:cs="宋体"/>
          <w:b/>
          <w:bCs w:val="0"/>
          <w:color w:val="auto"/>
          <w:sz w:val="24"/>
          <w:highlight w:val="none"/>
        </w:rPr>
        <w:t>质保及售后服务</w:t>
      </w:r>
    </w:p>
    <w:p>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10.2.3在质保期内，所投产品如出现性能严重偏差或重大质量问题等情况，招标人可要求无条件退货或更换同品牌、同型号全新产品，由此给招标人造成的损失由中标人承担。</w:t>
      </w:r>
    </w:p>
    <w:p>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10.2.4质保期内因中标人原因导致修理期超过15日的，中标人应免费更换同型号同规格产品，且延长相应时长的质保期；</w:t>
      </w:r>
    </w:p>
    <w:p>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10.2..5在质保期内，同一产品、同一质量问题连续两次维修仍无法正常使用或者质保期内出现3次故障的，中标人必须无条件的免费予以更换同品牌、同型号全新产品，并承担因此而产生的一切费用。</w:t>
      </w:r>
    </w:p>
    <w:p>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10.2.6质保期满后，设备终身维修，售后服务只收配件成本费；无论招标人是否另行选择维保供应商，中标人应及时优惠提供所需的备品备件。</w:t>
      </w:r>
    </w:p>
    <w:p>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10.3、本项目采用全费用综合包干单价方式建设，投标人应根据项目要求和现场情况，详细列明项目所需的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投标人免费提供，招标人不再支付其他任何费用。</w:t>
      </w:r>
    </w:p>
    <w:p>
      <w:pPr>
        <w:spacing w:after="120" w:line="520" w:lineRule="exact"/>
        <w:ind w:firstLine="480" w:firstLineChars="200"/>
        <w:rPr>
          <w:rFonts w:ascii="宋体" w:hAnsi="宋体" w:eastAsia="宋体" w:cs="宋体"/>
          <w:b/>
          <w:color w:val="auto"/>
          <w:sz w:val="24"/>
          <w:highlight w:val="none"/>
        </w:rPr>
      </w:pPr>
      <w:r>
        <w:rPr>
          <w:rFonts w:hint="eastAsia" w:ascii="宋体" w:hAnsi="宋体" w:eastAsia="宋体" w:cs="宋体"/>
          <w:color w:val="auto"/>
          <w:sz w:val="24"/>
          <w:highlight w:val="none"/>
        </w:rPr>
        <w:t>10.4、所有参与项目的工作人员一切安全责任由中标人承担。</w:t>
      </w:r>
      <w:bookmarkEnd w:id="5"/>
      <w:bookmarkEnd w:id="6"/>
    </w:p>
    <w:p>
      <w:pPr>
        <w:spacing w:line="52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十一、投标文件的编制、密封、递交</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pPr>
        <w:spacing w:line="52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十二、投标文件递交</w:t>
      </w:r>
    </w:p>
    <w:p>
      <w:pPr>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开标时间及投标截止时间定为：</w:t>
      </w:r>
      <w:r>
        <w:rPr>
          <w:rFonts w:hint="eastAsia" w:ascii="宋体" w:hAnsi="宋体" w:eastAsia="宋体" w:cs="宋体"/>
          <w:color w:val="auto"/>
          <w:sz w:val="24"/>
          <w:highlight w:val="none"/>
          <w:u w:val="single"/>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10</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 xml:space="preserve"> 14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00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pPr>
        <w:spacing w:line="520" w:lineRule="exact"/>
        <w:rPr>
          <w:rFonts w:ascii="宋体" w:hAnsi="宋体" w:eastAsia="宋体" w:cs="宋体"/>
          <w:b/>
          <w:bCs/>
          <w:color w:val="auto"/>
          <w:sz w:val="24"/>
          <w:highlight w:val="none"/>
        </w:rPr>
      </w:pPr>
      <w:bookmarkStart w:id="7" w:name="_Toc300677995"/>
      <w:bookmarkStart w:id="8" w:name="_Toc429827520"/>
      <w:r>
        <w:rPr>
          <w:rFonts w:hint="eastAsia" w:ascii="宋体" w:hAnsi="宋体" w:eastAsia="宋体" w:cs="宋体"/>
          <w:b/>
          <w:bCs/>
          <w:color w:val="auto"/>
          <w:sz w:val="24"/>
          <w:highlight w:val="none"/>
        </w:rPr>
        <w:t>十三、评标办法（最低评标价法）</w:t>
      </w:r>
      <w:bookmarkStart w:id="12" w:name="_GoBack"/>
      <w:bookmarkEnd w:id="12"/>
    </w:p>
    <w:p>
      <w:pPr>
        <w:spacing w:line="520" w:lineRule="exact"/>
        <w:ind w:firstLine="354" w:firstLineChars="147"/>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pPr>
        <w:spacing w:line="520" w:lineRule="exact"/>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第一阶段：资格性审查</w:t>
      </w:r>
    </w:p>
    <w:p>
      <w:pPr>
        <w:spacing w:line="52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第三阶段：投标报价审查</w:t>
      </w:r>
    </w:p>
    <w:p>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pPr>
        <w:spacing w:line="52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pPr>
        <w:spacing w:line="520" w:lineRule="exact"/>
        <w:ind w:firstLine="120" w:firstLineChars="50"/>
        <w:rPr>
          <w:rFonts w:ascii="宋体" w:hAnsi="宋体" w:eastAsia="宋体" w:cs="宋体"/>
          <w:b/>
          <w:bCs/>
          <w:color w:val="auto"/>
          <w:sz w:val="24"/>
          <w:highlight w:val="none"/>
        </w:rPr>
      </w:pPr>
      <w:r>
        <w:rPr>
          <w:rFonts w:hint="eastAsia" w:ascii="宋体" w:hAnsi="宋体" w:eastAsia="宋体" w:cs="宋体"/>
          <w:b/>
          <w:bCs/>
          <w:color w:val="auto"/>
          <w:sz w:val="24"/>
          <w:highlight w:val="none"/>
        </w:rPr>
        <w:t>十四、联系方式</w:t>
      </w:r>
    </w:p>
    <w:p>
      <w:pPr>
        <w:tabs>
          <w:tab w:val="left" w:pos="7853"/>
        </w:tabs>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人：浏阳市文化旅游产业发展有限责任公司</w:t>
      </w:r>
    </w:p>
    <w:p>
      <w:pPr>
        <w:tabs>
          <w:tab w:val="left" w:pos="7853"/>
        </w:tabs>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pPr>
        <w:tabs>
          <w:tab w:val="left" w:pos="7853"/>
        </w:tabs>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联系人：易女士     电话：0731-83648668</w:t>
      </w:r>
    </w:p>
    <w:p>
      <w:pPr>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pPr>
        <w:tabs>
          <w:tab w:val="left" w:pos="364"/>
        </w:tabs>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pP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pPr>
        <w:widowControl/>
        <w:jc w:val="center"/>
        <w:textAlignment w:val="center"/>
        <w:rPr>
          <w:rFonts w:ascii="宋体" w:hAnsi="宋体" w:eastAsia="宋体" w:cs="宋体"/>
          <w:b/>
          <w:bCs/>
          <w:color w:val="auto"/>
          <w:sz w:val="32"/>
          <w:highlight w:val="none"/>
        </w:rPr>
        <w:sectPr>
          <w:pgSz w:w="11906" w:h="16838"/>
          <w:pgMar w:top="1531" w:right="1531" w:bottom="1531" w:left="1531" w:header="851" w:footer="992" w:gutter="0"/>
          <w:pgNumType w:fmt="decimal"/>
          <w:cols w:space="720" w:num="1"/>
          <w:docGrid w:type="lines" w:linePitch="312" w:charSpace="0"/>
        </w:sectPr>
      </w:pPr>
    </w:p>
    <w:bookmarkEnd w:id="7"/>
    <w:bookmarkEnd w:id="8"/>
    <w:tbl>
      <w:tblPr>
        <w:tblStyle w:val="8"/>
        <w:tblW w:w="99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2306"/>
        <w:gridCol w:w="2916"/>
        <w:gridCol w:w="549"/>
        <w:gridCol w:w="744"/>
        <w:gridCol w:w="1008"/>
        <w:gridCol w:w="1239"/>
        <w:gridCol w:w="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995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32"/>
                <w:szCs w:val="32"/>
                <w:u w:val="none"/>
                <w:lang w:val="en-US" w:eastAsia="zh-CN" w:bidi="ar"/>
              </w:rPr>
              <w:t>金坑景区停车场充电站配套采购项目清单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3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9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项目特征描述</w:t>
            </w: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  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3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外线部分</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89603.80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ZC-YJV22-10kV-3*50电力电缆</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1.名称:电力电缆;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2.型号:ZC-YJV22-10kV-3*50;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3.材质:铜芯;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4.电压等级（kV）:10;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258.68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8795.12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3*50高压电力电缆终端头 户内</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1.名称:电力电缆终端头;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2.型号:3*50;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3.材质、类型:户内、冷缩;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4.电压等级（kV）:10;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472.47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472.47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3*50高压电力电缆终端头 户外</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1.名称:电力电缆终端头;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2.型号:3*50;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3.材质、类型:户内、冷缩;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4.电压等级（kV）:10;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798.89</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798.89</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标示牌</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1.电缆标示牌安装;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2.材质:不锈钢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3.规格:80*150mm、120*80mm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4.含：电缆标示牌、电缆井标示牌、电缆走向指示标识牌</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240.80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防火涂料</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1.电缆防火涂料安装;</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555.30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防火堵料</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1.电缆防火堵料安装;</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电缆保护管</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1.半硬质阻燃管埋地敷设;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2.规格材质：MPP φ175*9.5m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3.含：沟槽土方开挖、回填、C20混凝土满包、管枕等</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194.37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3887.40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直线电缆井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1.直线电缆井 2650*2200*1900mm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2.100mm厚C15商品砼基础 PVC100排水管;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3.M10砂浆砌筑MU10烧结普通砖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4.井内侧1:3防水砂浆抹灰;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5.C25预制混凝土井室盖板,含钢筋、模板制安;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6.电力专用球墨铸铁盖板 1600*800 三页;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7.含土方开挖外运，商品砼运距综合考虑;具体做法详见设计图;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8.具体做法详见设计图;</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13320.23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26640.46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电杆组立</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 非预应力锥形杆;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 混凝土;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 Ф190×12m;</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2750.38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2750.38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一二次融合柱上断路器</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1.一二次融合柱上断路器安装;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2.型号:ZW32-630/12FG;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3.带FTU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4.含支架安装</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29971.10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29971.10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导线架设JKLYJ-10KV-50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1.规格:JKLYJ-10-50mm2绝缘铝绞线;</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220.20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避雷引上线 BV-35</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1.避雷引上线;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2.规格:BV-35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345.60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10KV大通流避雷器</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1.户外交流避雷器;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2.YH10WS-17/50;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3.含绝缘罩;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4.含支架安装</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1059.07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6354.42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隔离开关</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1.隔离开关;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2.GW31-630/12;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3.含支架</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1814.68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5444.04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绝缘子</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1.防雷防冰复合绝缘子J8YH10CX-13/40;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499.50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直线横担</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1.直线横担安装;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2.含:直线横担 HD1-17/8008 D=205、直线单顶抱箍D200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311.54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311.54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垂直接地装置</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1.热镀锌角钢L50*5*2500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2.热镀锌扁钢-40*4;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3.数量详见设计图纸</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1504.24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1504.24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镀锌钢管DN110</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1.镀锌钢管沿电杆敷设;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2.规格：DN100*4mm</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106.39</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638.34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电气部分</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181833.78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户外欧式景观箱变</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1.名称:户外欧式景观箱变;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2.型号:SCB13-400KVA;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3.含三相计量装置;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4.含负控装置;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5.具体参数详见设计图纸要求;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6.含箱变调试;</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139083.96</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139083.96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箱变基础</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1.100厚C15商品混凝土垫层;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2.M10水泥砂浆砌筑MU10砖;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3.1680*800球墨铸铁盖板1600*800 三页;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4.环网柜基础净空尺寸3930*3.13*2000;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5.含钢筋制作安装;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6.含槽钢制作、安装;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7.含预埋接地-50*5接地扁铁制作安装;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8.含接地极L50*5*2500制作安装;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9.含百叶窗、防虫网制作安装;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10.含土方挖运、模板制作安装;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11.混凝土输送方式及运距综合考虑;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12.具体做法详见施工图纸;</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20100.07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20100.07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箱变防凝露</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1.箱变防凝露;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2.施工方法详见设计图纸;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3.含税包干价;</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2722.18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2722.18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分散式直流电源装置</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1.分散式直流电源装置;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2.7.2Ah/DC220V</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6537.47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6537.47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框架式断路器</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1.漏电保护开关安装 单式 三极;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2.型号：W1-2000/3</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8877.38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8877.38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1.漏电保护开关安装 单式 三极;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2.型号：250/3340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548.02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1644.06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1.漏电保护开关安装 单式 三极;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2.型号：100/2P</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74.75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149.50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1.漏电保护开关安装 单式 三极;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2.型号：160/3P</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96.35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96.35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配线BV-1*2.5</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1.单芯铜质导线 BV-1*2.5mm2;</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116.80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配线BV-1*4</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1.单芯铜质导线 BV-1*4mm2;</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156.40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电力变压器系统</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1.10kV以下电力变压器系统调试（容量kV·A以下） 560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1433.23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1433.23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安全工器具</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1.工器具费，如有按实签证计入结算</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消防灭火器</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1.消防灭火器 3A级 5kg;</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158.19</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316.38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0.4KV线路及电气部分</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1"/>
                <w:szCs w:val="21"/>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124970.05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立柱式直流充电桩</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1.立柱式直流充电桩安装 一机双枪；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2.输入: 交流380V；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3.输出:直流200V~1000V，0~250A,单枪输出最大功率120kw；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4.室外防水,防护等级不低于IP54；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5.支付(微信扫码),自动联网4G/5G网络；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6.含实时结算收费平台接入（需自行接入采购人现行使用的充电运营平台）；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7.具各项保护功能。</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30370.30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60740.60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直流充电桩基础</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1.直流充电桩基础 350*350*450mm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2.100mm厚C20商品砼基础;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3.C25商品砼井墙 厚225mm;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4.含土方开挖外运、模板制安，商品砼运距综合考虑;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5.具体做法详见设计图;</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532.02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1064.04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立柱式交流充电桩</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1.立柱式交流充电桩安装；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2.输入：交流220V；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3.输出：交流220V/32A/7KW；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4.室外防水，防护等级不低于IP54；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5.支付(微信扫码),自动联网4G/5G网络，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6.含实时结算收费平台接入（需自行接入采购人现行使用的充电运营平台）；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7.具各项保护功能。</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1867.57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3735.14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交流充电桩基础</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1.交流充电桩基础 内空50*50*450mm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2.100mm厚C20商品砼基础;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3.C25商品砼井墙 厚225mm;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4.含土方开挖外运、模板制安，商品砼运距综合考虑;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5.具体做法详见设计图;</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207.43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414.86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ZC-YJV22-0.4kV-4*120+1*70电力电缆</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1.名称:电力电缆;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2.型号:ZC-YJV22-0.4kV-4*120+1*70;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3.材质:铜芯;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4.电压等级（kV）:0.4;</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455.93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12766.04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ZC-YJV22-0.4kV-2*16+1*10电力电缆</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1.名称:电力电缆;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2.型号:ZC-YJV22-0.4kV-2*16+1*10;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3.材质:铜芯;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4.电压等级（kV）:0.4;</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64.66</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2715.72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防火涂料</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1.电缆防火涂料安装;</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666.36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防火堵料</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1.电缆防火堵料安装;</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电缆RVV-500V-2*2.5</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1.电缆RVV-500V-2*2.5芯;</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414.40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通讯线缆RVSP 2*0.5</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1.通讯线缆RVSP 2*0.5;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402.50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超五类屏蔽网线</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1.超五类屏蔽网线;</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436.80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电源线KYJV-500V-3*1.5</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1.电源线KYJV-500V-3*1.5;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995.00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室外监控总箱</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1.室外监控总箱 304不锈钢材质600*1800*1200 基础井580*1100*1000mm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2.100mm厚C20商品砼基础;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3.M10砂浆砌筑MU10烧结普通砖井壁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4.井内侧1:3防水砂浆抹灰;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5.C25混凝土井室盖板、模板制安;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6.C30混凝土井圈、模板制安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7.球墨铸铁盖板 580*700;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8.具体做法详见设计图;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9.商品砼运距综合考虑;</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3571.11</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3571.11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1.交换机设备安装、调试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2.8口核心交换机;</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1180.56</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1180.56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路由器</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1.全千兆企业级网络路由器安装、调试;</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1150.71</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1150.71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硬盘录像机</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1.视频系统 录编设备安装 硬盘录像机;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2.16路</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2036.48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2036.48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监控硬盘 4T</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1.规格:4T;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2.名称:硬盘;</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607.98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607.98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400万像素数枪机摄像头（含立杆）</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1.400万像素数枪机摄像头安装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2.地笼规格：Φ16钢筋，240*240*500mm 定制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3.立杆：DN76*2.5mm+DN114*3mm镀锌钢管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4.横臂：DN42*2mm镀锌钢管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5.含:C25砼基础、箱子、避雷针</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1965.80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3931.60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干粉灭火器箱</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1.灭火器安装 室内灭火器(≤5kg) 箱体安放;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2.内含4kg干粉灭火器2个</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158.05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632.20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停车限位杆</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1.规格：DN110钢管 高出地面高度 (H)：150mm。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2.宽度 (W)：≥ 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3.长度 (L)：≥ 2200mm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4.涂刷警示色：养护完成后，在限位墩的斜面和垂直面上涂刷黄黑相间相间的醒目警示漆，以便司机在夜间或光线不佳时也能清晰看到。</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230.99</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1385.94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垂直接地装置</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1.热镀锌角钢L50*5*2500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2.热镀锌扁钢-40*4;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3.数量详见设计图纸</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2644.56</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2644.56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低压电缆工作井</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1.电缆工作井 1000*1000*880mm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2.100mm厚片石垫层、70mm厚C20商品砼基础;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3.M10砂浆砌筑MU10烧结普通砖井壁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4.井内侧1:3防水砂浆抹灰;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5.C20预制混凝土井室盖板,含模板制安;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6.球墨铸铁盖板 1000*1000;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7.具体做法详见设计图;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8.商品砼运距综合考虑;</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2118.61</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10593.05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电缆保护管</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1.半硬质阻燃管埋地敷设;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2.规格材质：CPVC110*5mm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3.含：沟槽土方开挖、回填、C20混凝土满包、管枕等</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74.80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7330.40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镀锌圆钢防撞柱</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1.材料品种:Φ110镀锌钢管;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2.规格、型号:,H=75cm;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人工手持风动凿岩机凿孔，C20商品砼满灌孔洞与钢管之间的间隙，清理现场石渣.</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充电桩指引牌2.55*0.65m</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1.充电桩指引牌2.55*0.65m;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2.钢架烤漆+丝印</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822" w:type="dxa"/>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2916" w:type="dxa"/>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21"/>
                <w:szCs w:val="21"/>
                <w:u w:val="none"/>
              </w:rPr>
            </w:pPr>
          </w:p>
        </w:tc>
        <w:tc>
          <w:tcPr>
            <w:tcW w:w="549" w:type="dxa"/>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21"/>
                <w:szCs w:val="21"/>
                <w:u w:val="none"/>
              </w:rPr>
            </w:pPr>
          </w:p>
        </w:tc>
        <w:tc>
          <w:tcPr>
            <w:tcW w:w="744" w:type="dxa"/>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00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396407.63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1、本清单中仅列出主要设备材料，所含其他辅助材料费用请在投标报价时综合考虑；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2、本清单所列出所有设备及土建报价均已综合考虑税费、运费、设计费和安装调试费等；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3、投标人报价时，总价和单价均不得超过招标人提供的采购清单最高限价总价和单价；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4、本项目需开具全额增值税专用发票。</w:t>
      </w:r>
    </w:p>
    <w:p>
      <w:pPr>
        <w:spacing w:line="510" w:lineRule="exact"/>
        <w:rPr>
          <w:rFonts w:ascii="宋体" w:hAnsi="宋体" w:eastAsia="宋体" w:cs="宋体"/>
          <w:color w:val="auto"/>
          <w:sz w:val="24"/>
          <w:highlight w:val="none"/>
        </w:rPr>
      </w:pPr>
    </w:p>
    <w:p>
      <w:pPr>
        <w:spacing w:line="510" w:lineRule="exact"/>
        <w:rPr>
          <w:rFonts w:ascii="宋体" w:hAnsi="宋体" w:eastAsia="宋体" w:cs="宋体"/>
          <w:color w:val="auto"/>
          <w:sz w:val="24"/>
          <w:highlight w:val="none"/>
        </w:rPr>
      </w:pPr>
    </w:p>
    <w:p>
      <w:pPr>
        <w:spacing w:line="510" w:lineRule="exact"/>
        <w:rPr>
          <w:rFonts w:ascii="宋体" w:hAnsi="宋体" w:eastAsia="宋体" w:cs="宋体"/>
          <w:color w:val="auto"/>
          <w:sz w:val="24"/>
          <w:highlight w:val="none"/>
        </w:rPr>
      </w:pPr>
    </w:p>
    <w:p>
      <w:pPr>
        <w:spacing w:line="510" w:lineRule="exact"/>
        <w:rPr>
          <w:rFonts w:ascii="宋体" w:hAnsi="宋体" w:eastAsia="宋体" w:cs="宋体"/>
          <w:color w:val="auto"/>
          <w:sz w:val="24"/>
          <w:highlight w:val="none"/>
        </w:rPr>
      </w:pPr>
    </w:p>
    <w:p>
      <w:pPr>
        <w:spacing w:line="510" w:lineRule="exact"/>
        <w:rPr>
          <w:rFonts w:ascii="宋体" w:hAnsi="宋体" w:eastAsia="宋体" w:cs="宋体"/>
          <w:color w:val="auto"/>
          <w:sz w:val="24"/>
          <w:highlight w:val="none"/>
        </w:rPr>
      </w:pPr>
    </w:p>
    <w:p>
      <w:pPr>
        <w:spacing w:line="510" w:lineRule="exact"/>
        <w:rPr>
          <w:rFonts w:ascii="宋体" w:hAnsi="宋体" w:eastAsia="宋体" w:cs="宋体"/>
          <w:color w:val="auto"/>
          <w:sz w:val="24"/>
          <w:highlight w:val="none"/>
        </w:rPr>
      </w:pPr>
    </w:p>
    <w:p>
      <w:pPr>
        <w:spacing w:line="510" w:lineRule="exact"/>
        <w:rPr>
          <w:rFonts w:ascii="宋体" w:hAnsi="宋体" w:eastAsia="宋体" w:cs="宋体"/>
          <w:color w:val="auto"/>
          <w:sz w:val="24"/>
          <w:highlight w:val="none"/>
        </w:rPr>
      </w:pPr>
    </w:p>
    <w:p>
      <w:pPr>
        <w:rPr>
          <w:rFonts w:ascii="宋体" w:hAnsi="宋体" w:eastAsia="宋体" w:cs="宋体"/>
          <w:color w:val="auto"/>
          <w:sz w:val="24"/>
          <w:highlight w:val="none"/>
        </w:rPr>
      </w:pPr>
      <w:r>
        <w:rPr>
          <w:rFonts w:ascii="宋体" w:hAnsi="宋体" w:eastAsia="宋体" w:cs="宋体"/>
          <w:color w:val="auto"/>
          <w:sz w:val="24"/>
          <w:highlight w:val="none"/>
        </w:rPr>
        <w:br w:type="page"/>
      </w:r>
    </w:p>
    <w:p>
      <w:pPr>
        <w:spacing w:line="510" w:lineRule="exact"/>
        <w:rPr>
          <w:rFonts w:ascii="宋体" w:hAnsi="宋体" w:eastAsia="宋体" w:cs="宋体"/>
          <w:color w:val="auto"/>
          <w:sz w:val="24"/>
          <w:highlight w:val="none"/>
        </w:rPr>
      </w:pPr>
    </w:p>
    <w:p>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pPr>
        <w:widowControl/>
        <w:overflowPunct w:val="0"/>
        <w:rPr>
          <w:rFonts w:ascii="宋体" w:hAnsi="宋体" w:eastAsia="宋体" w:cs="宋体"/>
          <w:color w:val="auto"/>
          <w:sz w:val="32"/>
          <w:highlight w:val="none"/>
        </w:rPr>
      </w:pPr>
    </w:p>
    <w:p>
      <w:pPr>
        <w:overflowPunct w:val="0"/>
        <w:spacing w:beforeLines="100"/>
        <w:jc w:val="center"/>
        <w:rPr>
          <w:rFonts w:ascii="宋体" w:hAnsi="宋体" w:eastAsia="宋体" w:cs="宋体"/>
          <w:bCs/>
          <w:color w:val="auto"/>
          <w:sz w:val="36"/>
          <w:szCs w:val="36"/>
          <w:highlight w:val="none"/>
        </w:rPr>
      </w:pPr>
    </w:p>
    <w:p>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金坑景区停车场充电站配套项目</w:t>
      </w:r>
    </w:p>
    <w:p>
      <w:pPr>
        <w:overflowPunct w:val="0"/>
        <w:spacing w:beforeLines="100"/>
        <w:jc w:val="center"/>
        <w:rPr>
          <w:rFonts w:hint="eastAsia" w:ascii="宋体" w:hAnsi="宋体" w:eastAsia="宋体" w:cs="宋体"/>
          <w:bCs/>
          <w:color w:val="auto"/>
          <w:sz w:val="36"/>
          <w:szCs w:val="36"/>
          <w:highlight w:val="none"/>
          <w:lang w:eastAsia="zh-CN"/>
        </w:rPr>
      </w:pPr>
    </w:p>
    <w:p>
      <w:pPr>
        <w:overflowPunct w:val="0"/>
        <w:spacing w:beforeLines="100"/>
        <w:jc w:val="center"/>
        <w:rPr>
          <w:rFonts w:hint="eastAsia" w:ascii="宋体" w:hAnsi="宋体" w:eastAsia="宋体" w:cs="宋体"/>
          <w:bCs/>
          <w:color w:val="auto"/>
          <w:sz w:val="36"/>
          <w:szCs w:val="36"/>
          <w:highlight w:val="none"/>
          <w:lang w:eastAsia="zh-CN"/>
        </w:rPr>
      </w:pPr>
    </w:p>
    <w:p>
      <w:pPr>
        <w:overflowPunct w:val="0"/>
        <w:spacing w:beforeLines="100"/>
        <w:jc w:val="center"/>
        <w:rPr>
          <w:rFonts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pPr>
        <w:widowControl/>
        <w:overflowPunct w:val="0"/>
        <w:rPr>
          <w:rFonts w:ascii="宋体" w:hAnsi="宋体" w:eastAsia="宋体" w:cs="宋体"/>
          <w:color w:val="auto"/>
          <w:sz w:val="32"/>
          <w:highlight w:val="none"/>
        </w:rPr>
      </w:pPr>
    </w:p>
    <w:p>
      <w:pPr>
        <w:widowControl/>
        <w:overflowPunct w:val="0"/>
        <w:rPr>
          <w:rFonts w:ascii="宋体" w:hAnsi="宋体" w:eastAsia="宋体" w:cs="宋体"/>
          <w:color w:val="auto"/>
          <w:sz w:val="32"/>
          <w:highlight w:val="none"/>
        </w:rPr>
      </w:pPr>
    </w:p>
    <w:p>
      <w:pPr>
        <w:widowControl/>
        <w:overflowPunct w:val="0"/>
        <w:rPr>
          <w:rFonts w:ascii="宋体" w:hAnsi="宋体" w:eastAsia="宋体" w:cs="宋体"/>
          <w:color w:val="auto"/>
          <w:sz w:val="32"/>
          <w:highlight w:val="none"/>
        </w:rPr>
      </w:pPr>
    </w:p>
    <w:p>
      <w:pPr>
        <w:widowControl/>
        <w:overflowPunct w:val="0"/>
        <w:rPr>
          <w:rFonts w:ascii="宋体" w:hAnsi="宋体" w:eastAsia="宋体" w:cs="宋体"/>
          <w:color w:val="auto"/>
          <w:sz w:val="32"/>
          <w:highlight w:val="none"/>
        </w:rPr>
      </w:pPr>
    </w:p>
    <w:p>
      <w:pPr>
        <w:widowControl/>
        <w:overflowPunct w:val="0"/>
        <w:rPr>
          <w:rFonts w:ascii="宋体" w:hAnsi="宋体" w:eastAsia="宋体" w:cs="宋体"/>
          <w:color w:val="auto"/>
          <w:sz w:val="32"/>
          <w:highlight w:val="none"/>
        </w:rPr>
      </w:pPr>
    </w:p>
    <w:p>
      <w:pPr>
        <w:overflowPunct w:val="0"/>
        <w:jc w:val="left"/>
        <w:rPr>
          <w:rFonts w:ascii="宋体" w:hAnsi="宋体" w:eastAsia="宋体" w:cs="宋体"/>
          <w:color w:val="auto"/>
          <w:sz w:val="24"/>
          <w:szCs w:val="28"/>
          <w:highlight w:val="none"/>
        </w:rPr>
      </w:pPr>
    </w:p>
    <w:p>
      <w:pPr>
        <w:overflowPunct w:val="0"/>
        <w:jc w:val="left"/>
        <w:rPr>
          <w:rFonts w:ascii="宋体" w:hAnsi="宋体" w:eastAsia="宋体" w:cs="宋体"/>
          <w:color w:val="auto"/>
          <w:sz w:val="24"/>
          <w:szCs w:val="28"/>
          <w:highlight w:val="none"/>
        </w:rPr>
      </w:pPr>
    </w:p>
    <w:p>
      <w:pPr>
        <w:keepNext w:val="0"/>
        <w:keepLines w:val="0"/>
        <w:pageBreakBefore w:val="0"/>
        <w:widowControl w:val="0"/>
        <w:kinsoku/>
        <w:wordWrap/>
        <w:overflowPunct w:val="0"/>
        <w:topLinePunct w:val="0"/>
        <w:autoSpaceDE/>
        <w:autoSpaceDN/>
        <w:bidi w:val="0"/>
        <w:adjustRightInd/>
        <w:snapToGrid/>
        <w:spacing w:line="600" w:lineRule="exact"/>
        <w:ind w:firstLine="1200" w:firstLineChars="500"/>
        <w:jc w:val="left"/>
        <w:textAlignment w:val="auto"/>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（盖单位章）</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pPr>
        <w:keepNext w:val="0"/>
        <w:keepLines w:val="0"/>
        <w:pageBreakBefore w:val="0"/>
        <w:widowControl w:val="0"/>
        <w:kinsoku/>
        <w:wordWrap/>
        <w:overflowPunct w:val="0"/>
        <w:topLinePunct w:val="0"/>
        <w:autoSpaceDE/>
        <w:autoSpaceDN/>
        <w:bidi w:val="0"/>
        <w:adjustRightInd/>
        <w:snapToGrid/>
        <w:spacing w:line="600" w:lineRule="exact"/>
        <w:ind w:firstLine="2640" w:firstLineChars="1100"/>
        <w:jc w:val="both"/>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p>
    <w:p>
      <w:pPr>
        <w:overflowPunct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pPr>
        <w:overflowPunct w:val="0"/>
        <w:jc w:val="center"/>
        <w:rPr>
          <w:rFonts w:hint="eastAsia" w:ascii="宋体" w:hAnsi="宋体" w:eastAsia="宋体" w:cs="宋体"/>
          <w:color w:val="auto"/>
          <w:sz w:val="18"/>
          <w:szCs w:val="18"/>
          <w:highlight w:val="none"/>
        </w:rPr>
      </w:pPr>
    </w:p>
    <w:p>
      <w:pPr>
        <w:overflowPunct w:val="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pPr>
        <w:spacing w:line="420" w:lineRule="exact"/>
        <w:jc w:val="center"/>
        <w:rPr>
          <w:rFonts w:ascii="宋体" w:hAnsi="宋体" w:eastAsia="宋体" w:cs="宋体"/>
          <w:color w:val="auto"/>
          <w:sz w:val="24"/>
          <w:highlight w:val="none"/>
        </w:rPr>
      </w:pP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pPr>
        <w:spacing w:line="420" w:lineRule="exact"/>
        <w:ind w:firstLine="480"/>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numPr>
          <w:ilvl w:val="0"/>
          <w:numId w:val="1"/>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pPr>
        <w:numPr>
          <w:ilvl w:val="0"/>
          <w:numId w:val="2"/>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所附投标价格表中规定的应提交和交付的货物、工程和服务投标总价为：小写：；大写。项目负责人：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pPr>
        <w:wordWrap w:val="0"/>
        <w:adjustRightInd w:val="0"/>
        <w:snapToGrid w:val="0"/>
        <w:spacing w:line="520" w:lineRule="exact"/>
        <w:rPr>
          <w:rFonts w:ascii="宋体" w:hAnsi="宋体" w:eastAsia="宋体" w:cs="宋体"/>
          <w:color w:val="auto"/>
          <w:sz w:val="24"/>
          <w:highlight w:val="none"/>
        </w:rPr>
      </w:pP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wordWrap w:val="0"/>
        <w:adjustRightInd w:val="0"/>
        <w:snapToGrid w:val="0"/>
        <w:spacing w:line="520" w:lineRule="exact"/>
        <w:rPr>
          <w:rFonts w:ascii="宋体" w:hAnsi="宋体" w:eastAsia="宋体" w:cs="宋体"/>
          <w:color w:val="auto"/>
          <w:sz w:val="24"/>
          <w:highlight w:val="none"/>
        </w:rPr>
      </w:pPr>
    </w:p>
    <w:p>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pPr>
        <w:widowControl/>
        <w:wordWrap w:val="0"/>
        <w:spacing w:line="520" w:lineRule="exact"/>
        <w:jc w:val="left"/>
        <w:rPr>
          <w:rFonts w:ascii="宋体" w:hAnsi="宋体" w:eastAsia="宋体" w:cs="宋体"/>
          <w:color w:val="auto"/>
          <w:sz w:val="24"/>
          <w:highlight w:val="none"/>
        </w:rPr>
        <w:sectPr>
          <w:pgSz w:w="11905" w:h="16838"/>
          <w:pgMar w:top="1531" w:right="1361" w:bottom="1531" w:left="1361" w:header="850" w:footer="992" w:gutter="0"/>
          <w:pgNumType w:fmt="decimal"/>
          <w:cols w:space="0" w:num="1"/>
          <w:docGrid w:type="lines" w:linePitch="315" w:charSpace="0"/>
        </w:sectPr>
      </w:pPr>
    </w:p>
    <w:p>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8"/>
        <w:tblpPr w:leftFromText="180" w:rightFromText="180" w:vertAnchor="text" w:horzAnchor="margin" w:tblpXSpec="center" w:tblpY="39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7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642" w:type="dxa"/>
            <w:vAlign w:val="center"/>
          </w:tcPr>
          <w:p>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97" w:type="dxa"/>
            <w:vAlign w:val="center"/>
          </w:tcPr>
          <w:p>
            <w:pPr>
              <w:spacing w:line="70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642" w:type="dxa"/>
            <w:vAlign w:val="center"/>
          </w:tcPr>
          <w:p>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97" w:type="dxa"/>
            <w:vAlign w:val="center"/>
          </w:tcPr>
          <w:p>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金坑景区停车场充电站配套项目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42" w:type="dxa"/>
            <w:vAlign w:val="center"/>
          </w:tcPr>
          <w:p>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397" w:type="dxa"/>
            <w:vAlign w:val="center"/>
          </w:tcPr>
          <w:p>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42" w:type="dxa"/>
            <w:vAlign w:val="center"/>
          </w:tcPr>
          <w:p>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397" w:type="dxa"/>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              元</w:t>
            </w:r>
            <w:r>
              <w:rPr>
                <w:rFonts w:hint="eastAsia" w:ascii="宋体" w:hAnsi="宋体" w:eastAsia="宋体" w:cs="宋体"/>
                <w:color w:val="auto"/>
                <w:sz w:val="24"/>
                <w:highlight w:val="none"/>
                <w:lang w:val="sq-A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642" w:type="dxa"/>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服务工期</w:t>
            </w:r>
          </w:p>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97" w:type="dxa"/>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42" w:type="dxa"/>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质量要求承诺</w:t>
            </w:r>
          </w:p>
        </w:tc>
        <w:tc>
          <w:tcPr>
            <w:tcW w:w="7397" w:type="dxa"/>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642" w:type="dxa"/>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质保期</w:t>
            </w:r>
          </w:p>
        </w:tc>
        <w:tc>
          <w:tcPr>
            <w:tcW w:w="7397" w:type="dxa"/>
            <w:vAlign w:val="center"/>
          </w:tcPr>
          <w:p>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项目整体质保期为2年，其中充电桩质保期8年。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642" w:type="dxa"/>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97" w:type="dxa"/>
            <w:vAlign w:val="center"/>
          </w:tcPr>
          <w:p>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所有设备安装调试完毕，预验收合格后30日内支付合同金额的60%；项目正式验收合格，乙方提交完整结算资料经甲方审计完成后30日内支付至审计金额的95%，余款在整体质保期满且无质量问题、售后服务纠纷、以及其他经济法律纠纷后一个月内付清（不计息）。</w:t>
            </w:r>
          </w:p>
          <w:p>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2、质量保证金按采购安装造价的5%提取，待缺陷责任期满后确认无质量问题1月后退还（不计息）。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642" w:type="dxa"/>
            <w:vAlign w:val="center"/>
          </w:tcPr>
          <w:p>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397" w:type="dxa"/>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pPr>
        <w:spacing w:line="400" w:lineRule="exact"/>
        <w:jc w:val="center"/>
        <w:rPr>
          <w:rFonts w:ascii="宋体" w:hAnsi="宋体" w:eastAsia="宋体" w:cs="宋体"/>
          <w:color w:val="auto"/>
          <w:sz w:val="24"/>
          <w:highlight w:val="none"/>
          <w:lang w:val="sq-AL"/>
        </w:rPr>
      </w:pPr>
    </w:p>
    <w:p>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投标人公章：</w:t>
      </w:r>
    </w:p>
    <w:p>
      <w:pPr>
        <w:spacing w:line="400" w:lineRule="exact"/>
        <w:jc w:val="center"/>
        <w:rPr>
          <w:rFonts w:ascii="宋体" w:hAnsi="宋体" w:eastAsia="宋体" w:cs="宋体"/>
          <w:color w:val="auto"/>
          <w:sz w:val="24"/>
          <w:highlight w:val="none"/>
          <w:lang w:val="sq-AL"/>
        </w:rPr>
      </w:pPr>
    </w:p>
    <w:p>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法定代表人或其委托代理人签字：</w:t>
      </w:r>
    </w:p>
    <w:p>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adjustRightInd w:val="0"/>
        <w:snapToGrid w:val="0"/>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pPr>
        <w:spacing w:line="360" w:lineRule="exact"/>
        <w:ind w:firstLine="241" w:firstLineChars="100"/>
        <w:rPr>
          <w:rFonts w:ascii="宋体" w:hAnsi="宋体" w:eastAsia="宋体" w:cs="宋体"/>
          <w:b/>
          <w:color w:val="auto"/>
          <w:sz w:val="24"/>
          <w:highlight w:val="none"/>
        </w:rPr>
      </w:pPr>
      <w:r>
        <w:rPr>
          <w:rFonts w:hint="eastAsia" w:ascii="宋体" w:hAnsi="宋体" w:eastAsia="宋体" w:cs="宋体"/>
          <w:b/>
          <w:color w:val="auto"/>
          <w:sz w:val="24"/>
          <w:highlight w:val="none"/>
        </w:rPr>
        <w:t>项目名称： 金额单位：元</w:t>
      </w:r>
    </w:p>
    <w:tbl>
      <w:tblPr>
        <w:tblStyle w:val="8"/>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13"/>
        <w:gridCol w:w="819"/>
        <w:gridCol w:w="1056"/>
        <w:gridCol w:w="1006"/>
        <w:gridCol w:w="863"/>
        <w:gridCol w:w="836"/>
        <w:gridCol w:w="1176"/>
        <w:gridCol w:w="133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78"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60"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545"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规   格</w:t>
            </w:r>
          </w:p>
        </w:tc>
        <w:tc>
          <w:tcPr>
            <w:tcW w:w="563"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参数</w:t>
            </w:r>
          </w:p>
        </w:tc>
        <w:tc>
          <w:tcPr>
            <w:tcW w:w="484"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69"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37"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747"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pPr>
              <w:widowControl/>
              <w:jc w:val="center"/>
              <w:textAlignment w:val="center"/>
              <w:rPr>
                <w:rFonts w:ascii="宋体" w:hAnsi="宋体" w:eastAsia="宋体" w:cs="宋体"/>
                <w:color w:val="auto"/>
                <w:sz w:val="32"/>
                <w:szCs w:val="21"/>
                <w:highlight w:val="none"/>
              </w:rPr>
            </w:pPr>
          </w:p>
        </w:tc>
        <w:tc>
          <w:tcPr>
            <w:tcW w:w="460" w:type="pct"/>
            <w:noWrap/>
          </w:tcPr>
          <w:p>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pPr>
              <w:adjustRightInd w:val="0"/>
              <w:snapToGrid w:val="0"/>
              <w:spacing w:line="360" w:lineRule="auto"/>
              <w:jc w:val="center"/>
              <w:rPr>
                <w:rFonts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pPr>
              <w:widowControl/>
              <w:jc w:val="center"/>
              <w:textAlignment w:val="center"/>
              <w:rPr>
                <w:rFonts w:ascii="宋体" w:hAnsi="宋体" w:eastAsia="宋体" w:cs="宋体"/>
                <w:color w:val="auto"/>
                <w:sz w:val="32"/>
                <w:szCs w:val="21"/>
                <w:highlight w:val="none"/>
              </w:rPr>
            </w:pPr>
          </w:p>
        </w:tc>
        <w:tc>
          <w:tcPr>
            <w:tcW w:w="460" w:type="pct"/>
            <w:noWrap/>
          </w:tcPr>
          <w:p>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pPr>
              <w:adjustRightInd w:val="0"/>
              <w:snapToGrid w:val="0"/>
              <w:spacing w:line="360" w:lineRule="auto"/>
              <w:jc w:val="center"/>
              <w:rPr>
                <w:rFonts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pPr>
              <w:widowControl/>
              <w:jc w:val="center"/>
              <w:textAlignment w:val="center"/>
              <w:rPr>
                <w:rFonts w:ascii="宋体" w:hAnsi="宋体" w:eastAsia="宋体" w:cs="宋体"/>
                <w:color w:val="auto"/>
                <w:sz w:val="32"/>
                <w:szCs w:val="21"/>
                <w:highlight w:val="none"/>
              </w:rPr>
            </w:pPr>
          </w:p>
        </w:tc>
        <w:tc>
          <w:tcPr>
            <w:tcW w:w="460" w:type="pct"/>
            <w:noWrap/>
          </w:tcPr>
          <w:p>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pPr>
              <w:adjustRightInd w:val="0"/>
              <w:snapToGrid w:val="0"/>
              <w:spacing w:line="360" w:lineRule="auto"/>
              <w:jc w:val="center"/>
              <w:rPr>
                <w:rFonts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pPr>
              <w:widowControl/>
              <w:jc w:val="center"/>
              <w:textAlignment w:val="center"/>
              <w:rPr>
                <w:rFonts w:ascii="宋体" w:hAnsi="宋体" w:eastAsia="宋体" w:cs="宋体"/>
                <w:color w:val="auto"/>
                <w:sz w:val="32"/>
                <w:szCs w:val="21"/>
                <w:highlight w:val="none"/>
              </w:rPr>
            </w:pPr>
          </w:p>
        </w:tc>
        <w:tc>
          <w:tcPr>
            <w:tcW w:w="460" w:type="pct"/>
            <w:noWrap/>
          </w:tcPr>
          <w:p>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pPr>
              <w:adjustRightInd w:val="0"/>
              <w:snapToGrid w:val="0"/>
              <w:spacing w:line="360" w:lineRule="auto"/>
              <w:jc w:val="center"/>
              <w:rPr>
                <w:rFonts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460" w:type="pct"/>
            <w:noWrap/>
          </w:tcPr>
          <w:p>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pPr>
              <w:adjustRightInd w:val="0"/>
              <w:snapToGrid w:val="0"/>
              <w:spacing w:line="360" w:lineRule="auto"/>
              <w:jc w:val="center"/>
              <w:rPr>
                <w:rFonts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pPr>
              <w:adjustRightInd w:val="0"/>
              <w:snapToGrid w:val="0"/>
              <w:spacing w:line="360" w:lineRule="auto"/>
              <w:jc w:val="center"/>
              <w:rPr>
                <w:rFonts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460" w:type="pct"/>
            <w:noWrap/>
          </w:tcPr>
          <w:p>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pPr>
              <w:adjustRightInd w:val="0"/>
              <w:snapToGrid w:val="0"/>
              <w:spacing w:line="360" w:lineRule="auto"/>
              <w:jc w:val="center"/>
              <w:rPr>
                <w:rFonts w:ascii="宋体" w:hAnsi="宋体" w:eastAsia="宋体" w:cs="宋体"/>
                <w:color w:val="auto"/>
                <w:sz w:val="32"/>
                <w:szCs w:val="21"/>
                <w:highlight w:val="none"/>
              </w:rPr>
            </w:pPr>
          </w:p>
        </w:tc>
      </w:tr>
    </w:tbl>
    <w:p>
      <w:pPr>
        <w:spacing w:line="360" w:lineRule="exact"/>
        <w:ind w:firstLine="241" w:firstLineChars="100"/>
        <w:rPr>
          <w:rFonts w:ascii="宋体" w:hAnsi="宋体" w:eastAsia="宋体" w:cs="宋体"/>
          <w:b/>
          <w:color w:val="auto"/>
          <w:sz w:val="24"/>
          <w:highlight w:val="none"/>
        </w:rPr>
      </w:pPr>
    </w:p>
    <w:p>
      <w:pPr>
        <w:topLinePunct/>
        <w:adjustRightInd w:val="0"/>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报价金额合计：小写：  大写：</w:t>
      </w:r>
    </w:p>
    <w:p>
      <w:pPr>
        <w:adjustRightInd w:val="0"/>
        <w:snapToGrid w:val="0"/>
        <w:spacing w:line="440" w:lineRule="exact"/>
        <w:ind w:left="-88" w:leftChars="-42"/>
        <w:rPr>
          <w:rFonts w:ascii="宋体" w:hAnsi="宋体" w:eastAsia="宋体" w:cs="宋体"/>
          <w:color w:val="auto"/>
          <w:sz w:val="24"/>
          <w:highlight w:val="none"/>
        </w:rPr>
      </w:pPr>
      <w:r>
        <w:rPr>
          <w:rFonts w:hint="eastAsia" w:ascii="宋体" w:hAnsi="宋体" w:eastAsia="宋体" w:cs="宋体"/>
          <w:color w:val="auto"/>
          <w:sz w:val="24"/>
          <w:highlight w:val="none"/>
        </w:rPr>
        <w:t>说明：</w:t>
      </w:r>
    </w:p>
    <w:p>
      <w:pPr>
        <w:spacing w:after="120"/>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本表包含招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pPr>
        <w:adjustRightInd w:val="0"/>
        <w:snapToGrid w:val="0"/>
        <w:spacing w:line="360" w:lineRule="auto"/>
        <w:jc w:val="center"/>
        <w:rPr>
          <w:rFonts w:ascii="宋体" w:hAnsi="宋体" w:eastAsia="宋体" w:cs="宋体"/>
          <w:b/>
          <w:color w:val="auto"/>
          <w:sz w:val="32"/>
          <w:szCs w:val="32"/>
          <w:highlight w:val="none"/>
        </w:rPr>
      </w:pPr>
    </w:p>
    <w:p>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pPr>
        <w:adjustRightInd w:val="0"/>
        <w:snapToGrid w:val="0"/>
        <w:ind w:left="-88" w:leftChars="-42" w:firstLine="281" w:firstLineChars="100"/>
        <w:jc w:val="center"/>
        <w:rPr>
          <w:rFonts w:ascii="宋体" w:hAnsi="宋体" w:eastAsia="宋体" w:cs="宋体"/>
          <w:b/>
          <w:bCs/>
          <w:color w:val="auto"/>
          <w:sz w:val="28"/>
          <w:szCs w:val="28"/>
          <w:highlight w:val="none"/>
        </w:rPr>
      </w:pPr>
    </w:p>
    <w:p>
      <w:pPr>
        <w:adjustRightInd w:val="0"/>
        <w:snapToGrid w:val="0"/>
        <w:ind w:left="-88" w:leftChars="-42" w:firstLine="210" w:firstLineChars="100"/>
        <w:rPr>
          <w:rFonts w:ascii="宋体" w:hAnsi="宋体" w:eastAsia="宋体" w:cs="宋体"/>
          <w:bCs/>
          <w:color w:val="auto"/>
          <w:szCs w:val="21"/>
          <w:highlight w:val="none"/>
        </w:rPr>
      </w:pPr>
    </w:p>
    <w:p>
      <w:pPr>
        <w:adjustRightInd w:val="0"/>
        <w:snapToGrid w:val="0"/>
        <w:ind w:left="-88" w:leftChars="-42" w:firstLine="210" w:firstLineChars="100"/>
        <w:rPr>
          <w:rFonts w:ascii="宋体" w:hAnsi="宋体" w:eastAsia="宋体" w:cs="宋体"/>
          <w:color w:val="auto"/>
          <w:szCs w:val="21"/>
          <w:highlight w:val="none"/>
        </w:rPr>
      </w:pPr>
    </w:p>
    <w:p>
      <w:pPr>
        <w:adjustRightInd w:val="0"/>
        <w:snapToGrid w:val="0"/>
        <w:ind w:left="-88" w:leftChars="-42"/>
        <w:outlineLvl w:val="0"/>
        <w:rPr>
          <w:rFonts w:ascii="宋体" w:hAnsi="宋体" w:eastAsia="宋体" w:cs="宋体"/>
          <w:bCs/>
          <w:color w:val="auto"/>
          <w:sz w:val="24"/>
          <w:highlight w:val="none"/>
        </w:rPr>
      </w:pPr>
    </w:p>
    <w:p>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pPr>
        <w:adjustRightInd w:val="0"/>
        <w:snapToGrid w:val="0"/>
        <w:rPr>
          <w:rFonts w:ascii="宋体" w:hAnsi="宋体" w:eastAsia="宋体" w:cs="宋体"/>
          <w:color w:val="auto"/>
          <w:sz w:val="24"/>
          <w:highlight w:val="none"/>
        </w:rPr>
      </w:pPr>
    </w:p>
    <w:p>
      <w:pPr>
        <w:adjustRightInd w:val="0"/>
        <w:snapToGrid w:val="0"/>
        <w:rPr>
          <w:rFonts w:ascii="宋体" w:hAnsi="宋体" w:eastAsia="宋体" w:cs="宋体"/>
          <w:color w:val="auto"/>
          <w:sz w:val="24"/>
          <w:highlight w:val="none"/>
        </w:rPr>
      </w:pPr>
    </w:p>
    <w:p>
      <w:pPr>
        <w:adjustRightInd w:val="0"/>
        <w:snapToGrid w:val="0"/>
        <w:rPr>
          <w:rFonts w:ascii="宋体" w:hAnsi="宋体" w:eastAsia="宋体" w:cs="宋体"/>
          <w:color w:val="auto"/>
          <w:sz w:val="24"/>
          <w:highlight w:val="none"/>
        </w:rPr>
      </w:pPr>
    </w:p>
    <w:p>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8"/>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ign w:val="center"/>
          </w:tcPr>
          <w:p>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bl>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pPr>
        <w:adjustRightInd w:val="0"/>
        <w:snapToGrid w:val="0"/>
        <w:ind w:left="-88" w:leftChars="-42"/>
        <w:rPr>
          <w:rFonts w:ascii="宋体" w:hAnsi="宋体" w:eastAsia="宋体" w:cs="宋体"/>
          <w:color w:val="auto"/>
          <w:sz w:val="24"/>
          <w:highlight w:val="none"/>
        </w:rPr>
      </w:pPr>
    </w:p>
    <w:p>
      <w:pPr>
        <w:adjustRightInd w:val="0"/>
        <w:snapToGrid w:val="0"/>
        <w:ind w:left="-88" w:leftChars="-42"/>
        <w:rPr>
          <w:rFonts w:ascii="宋体" w:hAnsi="宋体" w:eastAsia="宋体" w:cs="宋体"/>
          <w:color w:val="auto"/>
          <w:sz w:val="24"/>
          <w:highlight w:val="none"/>
        </w:rPr>
      </w:pPr>
    </w:p>
    <w:p>
      <w:pPr>
        <w:adjustRightInd w:val="0"/>
        <w:snapToGrid w:val="0"/>
        <w:ind w:left="-88" w:leftChars="-42"/>
        <w:rPr>
          <w:rFonts w:ascii="宋体" w:hAnsi="宋体" w:eastAsia="宋体" w:cs="宋体"/>
          <w:color w:val="auto"/>
          <w:sz w:val="24"/>
          <w:highlight w:val="none"/>
        </w:rPr>
      </w:pPr>
    </w:p>
    <w:p>
      <w:pPr>
        <w:ind w:firstLine="480" w:firstLineChars="200"/>
        <w:rPr>
          <w:rFonts w:ascii="宋体" w:hAnsi="宋体" w:eastAsia="宋体" w:cs="宋体"/>
          <w:color w:val="auto"/>
          <w:sz w:val="24"/>
          <w:highlight w:val="none"/>
        </w:rPr>
      </w:pPr>
    </w:p>
    <w:p>
      <w:pPr>
        <w:ind w:firstLine="480" w:firstLineChars="200"/>
        <w:rPr>
          <w:rFonts w:ascii="宋体" w:hAnsi="宋体" w:eastAsia="宋体" w:cs="宋体"/>
          <w:color w:val="auto"/>
          <w:sz w:val="24"/>
          <w:highlight w:val="none"/>
        </w:rPr>
      </w:pPr>
    </w:p>
    <w:p>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pPr>
        <w:adjustRightInd w:val="0"/>
        <w:snapToGrid w:val="0"/>
        <w:spacing w:line="360" w:lineRule="auto"/>
        <w:outlineLvl w:val="0"/>
        <w:rPr>
          <w:rFonts w:ascii="宋体" w:hAnsi="宋体" w:eastAsia="宋体" w:cs="宋体"/>
          <w:color w:val="auto"/>
          <w:szCs w:val="21"/>
          <w:highlight w:val="none"/>
        </w:rPr>
      </w:pPr>
    </w:p>
    <w:p>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400" w:lineRule="exact"/>
        <w:rPr>
          <w:rFonts w:ascii="宋体" w:hAnsi="宋体" w:eastAsia="宋体" w:cs="宋体"/>
          <w:color w:val="auto"/>
          <w:sz w:val="24"/>
          <w:highlight w:val="none"/>
        </w:rPr>
      </w:pPr>
    </w:p>
    <w:p>
      <w:pPr>
        <w:spacing w:line="400" w:lineRule="exact"/>
        <w:jc w:val="right"/>
        <w:rPr>
          <w:rFonts w:ascii="宋体" w:hAnsi="宋体" w:eastAsia="宋体" w:cs="宋体"/>
          <w:color w:val="auto"/>
          <w:sz w:val="24"/>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pPr>
        <w:spacing w:line="400" w:lineRule="exact"/>
        <w:jc w:val="right"/>
        <w:rPr>
          <w:rFonts w:ascii="宋体" w:hAnsi="宋体" w:eastAsia="宋体" w:cs="宋体"/>
          <w:color w:val="auto"/>
          <w:sz w:val="24"/>
          <w:highlight w:val="none"/>
        </w:rPr>
      </w:pPr>
    </w:p>
    <w:p>
      <w:pPr>
        <w:spacing w:line="400" w:lineRule="exact"/>
        <w:jc w:val="right"/>
        <w:rPr>
          <w:rFonts w:ascii="宋体" w:hAnsi="宋体" w:eastAsia="宋体" w:cs="宋体"/>
          <w:color w:val="auto"/>
          <w:sz w:val="24"/>
          <w:highlight w:val="none"/>
        </w:rPr>
      </w:pPr>
    </w:p>
    <w:p>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年月日 </w:t>
      </w:r>
    </w:p>
    <w:p>
      <w:pPr>
        <w:spacing w:line="400" w:lineRule="exact"/>
        <w:ind w:right="600"/>
        <w:rPr>
          <w:rFonts w:ascii="宋体" w:hAnsi="宋体" w:eastAsia="宋体" w:cs="宋体"/>
          <w:b/>
          <w:color w:val="auto"/>
          <w:sz w:val="24"/>
          <w:highlight w:val="none"/>
        </w:rPr>
      </w:pPr>
    </w:p>
    <w:p>
      <w:pPr>
        <w:spacing w:line="440" w:lineRule="exact"/>
        <w:ind w:right="600"/>
        <w:rPr>
          <w:rFonts w:ascii="宋体" w:hAnsi="宋体" w:eastAsia="宋体" w:cs="宋体"/>
          <w:b/>
          <w:color w:val="auto"/>
          <w:sz w:val="24"/>
          <w:highlight w:val="none"/>
        </w:rPr>
      </w:pPr>
      <w:bookmarkStart w:id="9" w:name="_Toc281562938"/>
      <w:bookmarkStart w:id="10" w:name="_Toc193115823"/>
      <w:bookmarkStart w:id="11" w:name="_Toc235592960"/>
      <w:r>
        <w:rPr>
          <w:rFonts w:hint="eastAsia" w:ascii="宋体" w:hAnsi="宋体" w:eastAsia="宋体" w:cs="宋体"/>
          <w:b/>
          <w:color w:val="auto"/>
          <w:sz w:val="24"/>
          <w:highlight w:val="none"/>
        </w:rPr>
        <w:t>注：1、法定代表人的签字必须是亲笔签名，不得使用印章签名或其他电子制版签名代替亲笔签名。</w:t>
      </w:r>
    </w:p>
    <w:p>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pPr>
        <w:spacing w:line="400" w:lineRule="exact"/>
        <w:rPr>
          <w:rFonts w:ascii="宋体" w:hAnsi="宋体" w:eastAsia="宋体" w:cs="宋体"/>
          <w:color w:val="auto"/>
          <w:szCs w:val="21"/>
          <w:highlight w:val="none"/>
        </w:rPr>
      </w:pPr>
    </w:p>
    <w:p>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9"/>
      <w:bookmarkEnd w:id="10"/>
      <w:bookmarkEnd w:id="11"/>
      <w:r>
        <w:rPr>
          <w:rFonts w:hint="eastAsia" w:ascii="宋体" w:hAnsi="宋体" w:eastAsia="宋体" w:cs="宋体"/>
          <w:b/>
          <w:color w:val="auto"/>
          <w:sz w:val="32"/>
          <w:szCs w:val="32"/>
          <w:highlight w:val="none"/>
        </w:rPr>
        <w:t>（如有）</w:t>
      </w:r>
    </w:p>
    <w:p>
      <w:pPr>
        <w:spacing w:line="400" w:lineRule="exact"/>
        <w:rPr>
          <w:rFonts w:ascii="宋体" w:hAnsi="宋体" w:eastAsia="宋体" w:cs="宋体"/>
          <w:color w:val="auto"/>
          <w:sz w:val="32"/>
          <w:szCs w:val="21"/>
          <w:highlight w:val="none"/>
        </w:rPr>
      </w:pPr>
    </w:p>
    <w:p>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pPr>
        <w:spacing w:line="240" w:lineRule="exact"/>
        <w:ind w:firstLine="480" w:firstLineChars="200"/>
        <w:rPr>
          <w:rFonts w:ascii="宋体" w:hAnsi="宋体" w:eastAsia="宋体" w:cs="宋体"/>
          <w:color w:val="auto"/>
          <w:sz w:val="24"/>
          <w:highlight w:val="none"/>
        </w:rPr>
      </w:pPr>
    </w:p>
    <w:p>
      <w:pPr>
        <w:spacing w:line="240" w:lineRule="exact"/>
        <w:ind w:firstLine="480" w:firstLineChars="200"/>
        <w:rPr>
          <w:rFonts w:ascii="宋体" w:hAnsi="宋体" w:eastAsia="宋体" w:cs="宋体"/>
          <w:color w:val="auto"/>
          <w:sz w:val="24"/>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pPr>
        <w:spacing w:line="240" w:lineRule="exact"/>
        <w:rPr>
          <w:rFonts w:ascii="宋体" w:hAnsi="宋体" w:eastAsia="宋体" w:cs="宋体"/>
          <w:color w:val="auto"/>
          <w:sz w:val="28"/>
          <w:szCs w:val="28"/>
          <w:highlight w:val="none"/>
        </w:rPr>
      </w:pPr>
    </w:p>
    <w:p>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pPr>
        <w:spacing w:line="240" w:lineRule="exact"/>
        <w:jc w:val="right"/>
        <w:rPr>
          <w:rFonts w:ascii="宋体" w:hAnsi="宋体" w:eastAsia="宋体" w:cs="宋体"/>
          <w:color w:val="auto"/>
          <w:sz w:val="24"/>
          <w:highlight w:val="none"/>
        </w:rPr>
      </w:pPr>
    </w:p>
    <w:p>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pPr>
        <w:spacing w:line="240" w:lineRule="exact"/>
        <w:ind w:right="420"/>
        <w:rPr>
          <w:rFonts w:ascii="宋体" w:hAnsi="宋体" w:eastAsia="宋体" w:cs="宋体"/>
          <w:color w:val="auto"/>
          <w:sz w:val="24"/>
          <w:highlight w:val="none"/>
        </w:rPr>
      </w:pPr>
    </w:p>
    <w:p>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pPr>
        <w:spacing w:line="240" w:lineRule="exact"/>
        <w:ind w:right="480"/>
        <w:rPr>
          <w:rFonts w:ascii="宋体" w:hAnsi="宋体" w:eastAsia="宋体" w:cs="宋体"/>
          <w:color w:val="auto"/>
          <w:sz w:val="24"/>
          <w:highlight w:val="none"/>
        </w:rPr>
      </w:pPr>
    </w:p>
    <w:p>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pPr>
        <w:ind w:firstLine="640" w:firstLineChars="200"/>
        <w:rPr>
          <w:rFonts w:ascii="宋体" w:hAnsi="宋体" w:eastAsia="宋体" w:cs="宋体"/>
          <w:color w:val="auto"/>
          <w:sz w:val="32"/>
          <w:highlight w:val="none"/>
        </w:rPr>
      </w:pPr>
    </w:p>
    <w:p>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8"/>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bl>
    <w:p>
      <w:pPr>
        <w:overflowPunct w:val="0"/>
        <w:spacing w:line="360" w:lineRule="auto"/>
        <w:jc w:val="center"/>
        <w:rPr>
          <w:rFonts w:ascii="宋体" w:hAnsi="宋体" w:eastAsia="宋体" w:cs="宋体"/>
          <w:b/>
          <w:color w:val="auto"/>
          <w:sz w:val="32"/>
          <w:szCs w:val="32"/>
          <w:highlight w:val="none"/>
        </w:rPr>
      </w:pPr>
    </w:p>
    <w:p>
      <w:pPr>
        <w:wordWrap w:val="0"/>
        <w:adjustRightInd w:val="0"/>
        <w:snapToGrid w:val="0"/>
        <w:spacing w:beforeLines="50" w:line="460" w:lineRule="exact"/>
        <w:ind w:firstLine="482" w:firstLineChars="200"/>
        <w:jc w:val="center"/>
        <w:rPr>
          <w:rFonts w:ascii="宋体" w:hAnsi="宋体" w:eastAsia="宋体" w:cs="宋体"/>
          <w:bCs/>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pPr>
        <w:overflowPunct w:val="0"/>
        <w:spacing w:line="360" w:lineRule="auto"/>
        <w:jc w:val="center"/>
        <w:rPr>
          <w:rFonts w:ascii="宋体" w:hAnsi="宋体" w:eastAsia="宋体" w:cs="宋体"/>
          <w:b/>
          <w:color w:val="auto"/>
          <w:sz w:val="32"/>
          <w:szCs w:val="32"/>
          <w:highlight w:val="none"/>
        </w:rPr>
      </w:pPr>
    </w:p>
    <w:p>
      <w:pPr>
        <w:spacing w:line="480" w:lineRule="exact"/>
        <w:rPr>
          <w:rFonts w:ascii="宋体" w:hAnsi="宋体" w:eastAsia="宋体" w:cs="宋体"/>
          <w:color w:val="auto"/>
          <w:sz w:val="30"/>
          <w:szCs w:val="30"/>
          <w:highlight w:val="none"/>
        </w:rPr>
      </w:pPr>
    </w:p>
    <w:p>
      <w:pPr>
        <w:spacing w:line="480" w:lineRule="exact"/>
        <w:rPr>
          <w:rFonts w:ascii="宋体" w:hAnsi="宋体" w:eastAsia="宋体" w:cs="宋体"/>
          <w:color w:val="auto"/>
          <w:sz w:val="30"/>
          <w:szCs w:val="30"/>
          <w:highlight w:val="none"/>
        </w:rPr>
      </w:pPr>
    </w:p>
    <w:p>
      <w:pPr>
        <w:spacing w:line="480" w:lineRule="exact"/>
        <w:rPr>
          <w:rFonts w:ascii="宋体" w:hAnsi="宋体" w:eastAsia="宋体" w:cs="宋体"/>
          <w:color w:val="auto"/>
          <w:sz w:val="30"/>
          <w:szCs w:val="30"/>
          <w:highlight w:val="none"/>
        </w:rPr>
      </w:pPr>
    </w:p>
    <w:p>
      <w:pPr>
        <w:adjustRightInd w:val="0"/>
        <w:snapToGrid w:val="0"/>
        <w:spacing w:line="360" w:lineRule="auto"/>
        <w:outlineLvl w:val="0"/>
        <w:rPr>
          <w:rFonts w:ascii="宋体" w:hAnsi="宋体" w:eastAsia="宋体" w:cs="宋体"/>
          <w:b/>
          <w:color w:val="auto"/>
          <w:sz w:val="24"/>
          <w:highlight w:val="none"/>
        </w:rPr>
      </w:pPr>
    </w:p>
    <w:p>
      <w:pPr>
        <w:spacing w:line="420" w:lineRule="exact"/>
        <w:ind w:firstLine="472" w:firstLineChars="200"/>
        <w:rPr>
          <w:rFonts w:ascii="宋体" w:hAnsi="宋体" w:eastAsia="宋体" w:cs="宋体"/>
          <w:color w:val="auto"/>
          <w:spacing w:val="-2"/>
          <w:sz w:val="24"/>
          <w:highlight w:val="none"/>
        </w:rPr>
        <w:sectPr>
          <w:footerReference r:id="rId8" w:type="first"/>
          <w:footerReference r:id="rId7" w:type="default"/>
          <w:pgSz w:w="11905" w:h="16838"/>
          <w:pgMar w:top="1531" w:right="1531" w:bottom="1531" w:left="1531" w:header="850" w:footer="992" w:gutter="0"/>
          <w:pgNumType w:fmt="decimal"/>
          <w:cols w:space="0" w:num="1"/>
          <w:docGrid w:type="lines" w:linePitch="315" w:charSpace="0"/>
        </w:sectPr>
      </w:pPr>
    </w:p>
    <w:p>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pPr>
        <w:rPr>
          <w:rFonts w:ascii="宋体" w:hAnsi="宋体" w:eastAsia="宋体" w:cs="宋体"/>
          <w:color w:val="auto"/>
          <w:sz w:val="32"/>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p>
    <w:sectPr>
      <w:footerReference r:id="rId10" w:type="first"/>
      <w:footerReference r:id="rId9" w:type="default"/>
      <w:pgSz w:w="11905" w:h="16838"/>
      <w:pgMar w:top="1531" w:right="1531" w:bottom="1531" w:left="1531" w:header="850" w:footer="992" w:gutter="0"/>
      <w:pgNumType w:fmt="decimal"/>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20"/>
        <w:tab w:val="right" w:pos="8640"/>
      </w:tabs>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rPr>
        <w:rFonts w:ascii="宋体" w:hAnsi="宋体" w:eastAsia="宋体" w:cs="宋体"/>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NjE0MGJhMDU3YzRkYmJhMjE3ZDgyNTcxYWQ0NWEifQ=="/>
  </w:docVars>
  <w:rsids>
    <w:rsidRoot w:val="6EDB6AE2"/>
    <w:rsid w:val="00073C0C"/>
    <w:rsid w:val="00074DA8"/>
    <w:rsid w:val="00141169"/>
    <w:rsid w:val="002632C8"/>
    <w:rsid w:val="00264799"/>
    <w:rsid w:val="002B53B8"/>
    <w:rsid w:val="002F4BBB"/>
    <w:rsid w:val="00411A0E"/>
    <w:rsid w:val="00425BC0"/>
    <w:rsid w:val="00484466"/>
    <w:rsid w:val="004A50B7"/>
    <w:rsid w:val="005D0FFE"/>
    <w:rsid w:val="0080251E"/>
    <w:rsid w:val="008E44E8"/>
    <w:rsid w:val="00AE1B7A"/>
    <w:rsid w:val="00B664CC"/>
    <w:rsid w:val="00BF0E2A"/>
    <w:rsid w:val="00C04C98"/>
    <w:rsid w:val="00E04306"/>
    <w:rsid w:val="00EF7472"/>
    <w:rsid w:val="00F26064"/>
    <w:rsid w:val="00F3325A"/>
    <w:rsid w:val="00FB537B"/>
    <w:rsid w:val="00FD1FB2"/>
    <w:rsid w:val="016A347B"/>
    <w:rsid w:val="022B1413"/>
    <w:rsid w:val="025179BA"/>
    <w:rsid w:val="0257598A"/>
    <w:rsid w:val="029F039A"/>
    <w:rsid w:val="02A86215"/>
    <w:rsid w:val="02E3341B"/>
    <w:rsid w:val="02E66FBD"/>
    <w:rsid w:val="02ED4364"/>
    <w:rsid w:val="02F2197A"/>
    <w:rsid w:val="035241C7"/>
    <w:rsid w:val="03F139E0"/>
    <w:rsid w:val="03F31506"/>
    <w:rsid w:val="042D3D65"/>
    <w:rsid w:val="044B6DCB"/>
    <w:rsid w:val="04A17FBB"/>
    <w:rsid w:val="05066B4B"/>
    <w:rsid w:val="062815F7"/>
    <w:rsid w:val="07820F75"/>
    <w:rsid w:val="07EA0E72"/>
    <w:rsid w:val="088017D6"/>
    <w:rsid w:val="09095327"/>
    <w:rsid w:val="09341A9E"/>
    <w:rsid w:val="0962293F"/>
    <w:rsid w:val="09D9119E"/>
    <w:rsid w:val="0A140428"/>
    <w:rsid w:val="0AD83AC6"/>
    <w:rsid w:val="0C3C77C2"/>
    <w:rsid w:val="0CB437FC"/>
    <w:rsid w:val="0DC83553"/>
    <w:rsid w:val="0DD028B8"/>
    <w:rsid w:val="0E8F4521"/>
    <w:rsid w:val="0E945864"/>
    <w:rsid w:val="0EBB70C4"/>
    <w:rsid w:val="0F3550C8"/>
    <w:rsid w:val="0FC46EA3"/>
    <w:rsid w:val="0FF22291"/>
    <w:rsid w:val="0FFF4F13"/>
    <w:rsid w:val="101D790A"/>
    <w:rsid w:val="1055163A"/>
    <w:rsid w:val="11083DF3"/>
    <w:rsid w:val="1115374F"/>
    <w:rsid w:val="11242DF5"/>
    <w:rsid w:val="112C593C"/>
    <w:rsid w:val="119C6247"/>
    <w:rsid w:val="11B06553"/>
    <w:rsid w:val="11B5429E"/>
    <w:rsid w:val="128B2877"/>
    <w:rsid w:val="13573354"/>
    <w:rsid w:val="141348F8"/>
    <w:rsid w:val="14151024"/>
    <w:rsid w:val="142739AB"/>
    <w:rsid w:val="145F04F1"/>
    <w:rsid w:val="14C60571"/>
    <w:rsid w:val="16510BF8"/>
    <w:rsid w:val="168E3310"/>
    <w:rsid w:val="170A0BE8"/>
    <w:rsid w:val="170D2487"/>
    <w:rsid w:val="17397720"/>
    <w:rsid w:val="177F61D5"/>
    <w:rsid w:val="189B61E4"/>
    <w:rsid w:val="18BC10DA"/>
    <w:rsid w:val="1917583F"/>
    <w:rsid w:val="19B874E6"/>
    <w:rsid w:val="1A720AEE"/>
    <w:rsid w:val="1A954C6D"/>
    <w:rsid w:val="1B726396"/>
    <w:rsid w:val="1B7E3A6F"/>
    <w:rsid w:val="1BC021BE"/>
    <w:rsid w:val="1BE16B4B"/>
    <w:rsid w:val="1C5648D0"/>
    <w:rsid w:val="1C6F24E2"/>
    <w:rsid w:val="1C907DE2"/>
    <w:rsid w:val="1C9D605B"/>
    <w:rsid w:val="1CEE68B6"/>
    <w:rsid w:val="1DA13929"/>
    <w:rsid w:val="1DD71A40"/>
    <w:rsid w:val="1E026ABD"/>
    <w:rsid w:val="1EB51737"/>
    <w:rsid w:val="1F6244B2"/>
    <w:rsid w:val="1F6D7F66"/>
    <w:rsid w:val="1F8F2C28"/>
    <w:rsid w:val="1FED3763"/>
    <w:rsid w:val="201D476F"/>
    <w:rsid w:val="203171E6"/>
    <w:rsid w:val="20803CC9"/>
    <w:rsid w:val="20893CDB"/>
    <w:rsid w:val="209E6A67"/>
    <w:rsid w:val="2107263D"/>
    <w:rsid w:val="211803A6"/>
    <w:rsid w:val="217355DC"/>
    <w:rsid w:val="21A32365"/>
    <w:rsid w:val="22071DB9"/>
    <w:rsid w:val="22A36827"/>
    <w:rsid w:val="23636EA1"/>
    <w:rsid w:val="23E65186"/>
    <w:rsid w:val="24374FE7"/>
    <w:rsid w:val="243A027A"/>
    <w:rsid w:val="24765B0F"/>
    <w:rsid w:val="24881D2D"/>
    <w:rsid w:val="24A26904"/>
    <w:rsid w:val="25DC5E46"/>
    <w:rsid w:val="25F403A5"/>
    <w:rsid w:val="262E1D4D"/>
    <w:rsid w:val="26F95BBE"/>
    <w:rsid w:val="277F5534"/>
    <w:rsid w:val="27842A7A"/>
    <w:rsid w:val="28212236"/>
    <w:rsid w:val="28441A80"/>
    <w:rsid w:val="29581C87"/>
    <w:rsid w:val="29693E94"/>
    <w:rsid w:val="296C2E8C"/>
    <w:rsid w:val="29A5770C"/>
    <w:rsid w:val="29EF3C6E"/>
    <w:rsid w:val="2A2D4934"/>
    <w:rsid w:val="2A497953"/>
    <w:rsid w:val="2BE87373"/>
    <w:rsid w:val="2C0564E9"/>
    <w:rsid w:val="2C6C370D"/>
    <w:rsid w:val="2DBF0527"/>
    <w:rsid w:val="2DE53D06"/>
    <w:rsid w:val="2E701821"/>
    <w:rsid w:val="2E92378A"/>
    <w:rsid w:val="2F611C76"/>
    <w:rsid w:val="2FF124EE"/>
    <w:rsid w:val="302B327D"/>
    <w:rsid w:val="30F71D86"/>
    <w:rsid w:val="318D6246"/>
    <w:rsid w:val="31CB6D6E"/>
    <w:rsid w:val="32A23F73"/>
    <w:rsid w:val="33095248"/>
    <w:rsid w:val="332E1DFE"/>
    <w:rsid w:val="339613FE"/>
    <w:rsid w:val="33F151B2"/>
    <w:rsid w:val="348744BB"/>
    <w:rsid w:val="35D71366"/>
    <w:rsid w:val="3757357E"/>
    <w:rsid w:val="38596F16"/>
    <w:rsid w:val="38E86458"/>
    <w:rsid w:val="3902576C"/>
    <w:rsid w:val="390457DD"/>
    <w:rsid w:val="395835DE"/>
    <w:rsid w:val="39D54D65"/>
    <w:rsid w:val="39E15381"/>
    <w:rsid w:val="3A23599A"/>
    <w:rsid w:val="3A5835DF"/>
    <w:rsid w:val="3AEC66D3"/>
    <w:rsid w:val="3B292616"/>
    <w:rsid w:val="3B8D6CB0"/>
    <w:rsid w:val="3BF52D0E"/>
    <w:rsid w:val="3C096E11"/>
    <w:rsid w:val="3C0D7E40"/>
    <w:rsid w:val="3CBC3E83"/>
    <w:rsid w:val="3CC1358A"/>
    <w:rsid w:val="3CE5162C"/>
    <w:rsid w:val="3D0575D8"/>
    <w:rsid w:val="3D934BE4"/>
    <w:rsid w:val="3D9646D4"/>
    <w:rsid w:val="3DC56B27"/>
    <w:rsid w:val="3E6B3DB3"/>
    <w:rsid w:val="3E8F54E1"/>
    <w:rsid w:val="3ECB78C6"/>
    <w:rsid w:val="3F0F0517"/>
    <w:rsid w:val="3F5B3E28"/>
    <w:rsid w:val="3F903830"/>
    <w:rsid w:val="40361C2C"/>
    <w:rsid w:val="406E36E7"/>
    <w:rsid w:val="407C4056"/>
    <w:rsid w:val="41FA46E1"/>
    <w:rsid w:val="42075BA1"/>
    <w:rsid w:val="42907F08"/>
    <w:rsid w:val="433B1FA6"/>
    <w:rsid w:val="43632F12"/>
    <w:rsid w:val="43A827FA"/>
    <w:rsid w:val="43E50164"/>
    <w:rsid w:val="44380293"/>
    <w:rsid w:val="44C814FE"/>
    <w:rsid w:val="458C5BFA"/>
    <w:rsid w:val="463C33B6"/>
    <w:rsid w:val="4645313C"/>
    <w:rsid w:val="46EC473D"/>
    <w:rsid w:val="47071753"/>
    <w:rsid w:val="476D64A6"/>
    <w:rsid w:val="47833F1C"/>
    <w:rsid w:val="479C4FDD"/>
    <w:rsid w:val="47C84024"/>
    <w:rsid w:val="47F46BC7"/>
    <w:rsid w:val="487E491C"/>
    <w:rsid w:val="48E86D71"/>
    <w:rsid w:val="49100A56"/>
    <w:rsid w:val="4AC54443"/>
    <w:rsid w:val="4B076C12"/>
    <w:rsid w:val="4B0E4A28"/>
    <w:rsid w:val="4B181158"/>
    <w:rsid w:val="4B3F0159"/>
    <w:rsid w:val="4B9530C4"/>
    <w:rsid w:val="4C8055C4"/>
    <w:rsid w:val="4C950778"/>
    <w:rsid w:val="4CB0382E"/>
    <w:rsid w:val="4CE72F2B"/>
    <w:rsid w:val="4CFA4C80"/>
    <w:rsid w:val="4D825C2E"/>
    <w:rsid w:val="4D9C7C8B"/>
    <w:rsid w:val="4D9E1AAF"/>
    <w:rsid w:val="4DB669DA"/>
    <w:rsid w:val="4E5464D1"/>
    <w:rsid w:val="4F7921FC"/>
    <w:rsid w:val="4FC9093A"/>
    <w:rsid w:val="5003644E"/>
    <w:rsid w:val="50546455"/>
    <w:rsid w:val="50FD3D3E"/>
    <w:rsid w:val="517E430A"/>
    <w:rsid w:val="51B20F46"/>
    <w:rsid w:val="523429E2"/>
    <w:rsid w:val="52BB2633"/>
    <w:rsid w:val="533B2FA2"/>
    <w:rsid w:val="53513D1E"/>
    <w:rsid w:val="549537A4"/>
    <w:rsid w:val="54E904F5"/>
    <w:rsid w:val="55FF74F3"/>
    <w:rsid w:val="56002CAA"/>
    <w:rsid w:val="564B6CB9"/>
    <w:rsid w:val="56883D6D"/>
    <w:rsid w:val="568D0913"/>
    <w:rsid w:val="56A34824"/>
    <w:rsid w:val="56AB2D7B"/>
    <w:rsid w:val="56AE6F7A"/>
    <w:rsid w:val="56F90CEB"/>
    <w:rsid w:val="57882178"/>
    <w:rsid w:val="57D83E10"/>
    <w:rsid w:val="58311772"/>
    <w:rsid w:val="58BD4DB3"/>
    <w:rsid w:val="59701E26"/>
    <w:rsid w:val="59FA62BF"/>
    <w:rsid w:val="5A735109"/>
    <w:rsid w:val="5AB75F5E"/>
    <w:rsid w:val="5AC558ED"/>
    <w:rsid w:val="5B89084D"/>
    <w:rsid w:val="5BAA161F"/>
    <w:rsid w:val="5BC00E43"/>
    <w:rsid w:val="5C877481"/>
    <w:rsid w:val="5D3D64C3"/>
    <w:rsid w:val="5DAD3C44"/>
    <w:rsid w:val="5E437E22"/>
    <w:rsid w:val="5E714676"/>
    <w:rsid w:val="5EF70A55"/>
    <w:rsid w:val="5F887941"/>
    <w:rsid w:val="5FC33D39"/>
    <w:rsid w:val="600F2399"/>
    <w:rsid w:val="60EA6464"/>
    <w:rsid w:val="611F3F82"/>
    <w:rsid w:val="61B2122D"/>
    <w:rsid w:val="61DF3FED"/>
    <w:rsid w:val="61FF283D"/>
    <w:rsid w:val="62136F60"/>
    <w:rsid w:val="633D0EC0"/>
    <w:rsid w:val="635308ED"/>
    <w:rsid w:val="63604CB9"/>
    <w:rsid w:val="638E7A78"/>
    <w:rsid w:val="63A7476C"/>
    <w:rsid w:val="63E36016"/>
    <w:rsid w:val="644F5459"/>
    <w:rsid w:val="64754794"/>
    <w:rsid w:val="65385EEE"/>
    <w:rsid w:val="65AF4A62"/>
    <w:rsid w:val="65EC10C6"/>
    <w:rsid w:val="664D7777"/>
    <w:rsid w:val="665C0351"/>
    <w:rsid w:val="66B60EF2"/>
    <w:rsid w:val="66C56152"/>
    <w:rsid w:val="66F978FF"/>
    <w:rsid w:val="675D77EA"/>
    <w:rsid w:val="68EF2D67"/>
    <w:rsid w:val="69124CA8"/>
    <w:rsid w:val="69C77840"/>
    <w:rsid w:val="6A9242F2"/>
    <w:rsid w:val="6B4C1B30"/>
    <w:rsid w:val="6B67752D"/>
    <w:rsid w:val="6C5F0204"/>
    <w:rsid w:val="6CA4030D"/>
    <w:rsid w:val="6D2D3E5E"/>
    <w:rsid w:val="6D5D0BE7"/>
    <w:rsid w:val="6DA31DF0"/>
    <w:rsid w:val="6DEF1638"/>
    <w:rsid w:val="6DFF5B12"/>
    <w:rsid w:val="6E526272"/>
    <w:rsid w:val="6EDB6AE2"/>
    <w:rsid w:val="6F335A1C"/>
    <w:rsid w:val="6F754A3C"/>
    <w:rsid w:val="7002625E"/>
    <w:rsid w:val="70271BB7"/>
    <w:rsid w:val="7040644A"/>
    <w:rsid w:val="70860455"/>
    <w:rsid w:val="70BB79D3"/>
    <w:rsid w:val="718627B6"/>
    <w:rsid w:val="72442376"/>
    <w:rsid w:val="72467B68"/>
    <w:rsid w:val="72C85CEC"/>
    <w:rsid w:val="72DE6B3F"/>
    <w:rsid w:val="731019CA"/>
    <w:rsid w:val="7349576A"/>
    <w:rsid w:val="73731207"/>
    <w:rsid w:val="7419513C"/>
    <w:rsid w:val="74511EEF"/>
    <w:rsid w:val="75B74C0D"/>
    <w:rsid w:val="75BA64AB"/>
    <w:rsid w:val="75C94940"/>
    <w:rsid w:val="75E76BC6"/>
    <w:rsid w:val="76114337"/>
    <w:rsid w:val="76345069"/>
    <w:rsid w:val="76963C93"/>
    <w:rsid w:val="77021825"/>
    <w:rsid w:val="774B3C01"/>
    <w:rsid w:val="79684983"/>
    <w:rsid w:val="799E6DA5"/>
    <w:rsid w:val="7A087776"/>
    <w:rsid w:val="7A101646"/>
    <w:rsid w:val="7A6D1D3E"/>
    <w:rsid w:val="7AF977EE"/>
    <w:rsid w:val="7B043974"/>
    <w:rsid w:val="7B1C79A7"/>
    <w:rsid w:val="7BB10350"/>
    <w:rsid w:val="7BFE1DCD"/>
    <w:rsid w:val="7C325281"/>
    <w:rsid w:val="7C457B4B"/>
    <w:rsid w:val="7C5036C5"/>
    <w:rsid w:val="7C611D76"/>
    <w:rsid w:val="7D9615AC"/>
    <w:rsid w:val="7E9C52E7"/>
    <w:rsid w:val="7F6C2F0C"/>
    <w:rsid w:val="7FA43759"/>
    <w:rsid w:val="7FB42928"/>
    <w:rsid w:val="7FE540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0"/>
      <w:sz w:val="20"/>
      <w:szCs w:val="24"/>
      <w:lang w:val="en-US" w:eastAsia="zh-CN" w:bidi="ar-SA"/>
    </w:rPr>
  </w:style>
  <w:style w:type="paragraph" w:styleId="3">
    <w:name w:val="footer"/>
    <w:basedOn w:val="1"/>
    <w:link w:val="18"/>
    <w:qFormat/>
    <w:uiPriority w:val="0"/>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6">
    <w:name w:val="Normal (Web)"/>
    <w:basedOn w:val="1"/>
    <w:qFormat/>
    <w:uiPriority w:val="0"/>
    <w:rPr>
      <w:sz w:val="24"/>
    </w:rPr>
  </w:style>
  <w:style w:type="paragraph" w:styleId="7">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 w:type="character" w:styleId="10">
    <w:name w:val="Strong"/>
    <w:basedOn w:val="9"/>
    <w:qFormat/>
    <w:uiPriority w:val="0"/>
    <w:rPr>
      <w:b/>
    </w:rPr>
  </w:style>
  <w:style w:type="character" w:customStyle="1" w:styleId="11">
    <w:name w:val="font61"/>
    <w:basedOn w:val="9"/>
    <w:qFormat/>
    <w:uiPriority w:val="0"/>
    <w:rPr>
      <w:rFonts w:hint="eastAsia" w:ascii="微软雅黑" w:hAnsi="微软雅黑" w:eastAsia="微软雅黑" w:cs="微软雅黑"/>
      <w:color w:val="FF0000"/>
      <w:sz w:val="22"/>
      <w:szCs w:val="22"/>
      <w:u w:val="none"/>
    </w:rPr>
  </w:style>
  <w:style w:type="character" w:customStyle="1" w:styleId="12">
    <w:name w:val="font41"/>
    <w:basedOn w:val="9"/>
    <w:qFormat/>
    <w:uiPriority w:val="0"/>
    <w:rPr>
      <w:rFonts w:hint="eastAsia" w:ascii="微软雅黑" w:hAnsi="微软雅黑" w:eastAsia="微软雅黑" w:cs="微软雅黑"/>
      <w:color w:val="000000"/>
      <w:sz w:val="22"/>
      <w:szCs w:val="22"/>
      <w:u w:val="none"/>
    </w:rPr>
  </w:style>
  <w:style w:type="character" w:customStyle="1" w:styleId="13">
    <w:name w:val="font71"/>
    <w:basedOn w:val="9"/>
    <w:qFormat/>
    <w:uiPriority w:val="0"/>
    <w:rPr>
      <w:rFonts w:hint="default" w:ascii="Times New Roman" w:hAnsi="Times New Roman" w:cs="Times New Roman"/>
      <w:color w:val="000000"/>
      <w:sz w:val="22"/>
      <w:szCs w:val="22"/>
      <w:u w:val="none"/>
    </w:rPr>
  </w:style>
  <w:style w:type="character" w:customStyle="1" w:styleId="14">
    <w:name w:val="font81"/>
    <w:basedOn w:val="9"/>
    <w:qFormat/>
    <w:uiPriority w:val="0"/>
    <w:rPr>
      <w:rFonts w:hint="eastAsia" w:ascii="宋体" w:hAnsi="宋体" w:eastAsia="宋体" w:cs="宋体"/>
      <w:color w:val="FF0000"/>
      <w:sz w:val="22"/>
      <w:szCs w:val="22"/>
      <w:u w:val="none"/>
    </w:rPr>
  </w:style>
  <w:style w:type="character" w:customStyle="1" w:styleId="15">
    <w:name w:val="font51"/>
    <w:basedOn w:val="9"/>
    <w:qFormat/>
    <w:uiPriority w:val="0"/>
    <w:rPr>
      <w:rFonts w:hint="eastAsia" w:ascii="微软雅黑" w:hAnsi="微软雅黑" w:eastAsia="微软雅黑" w:cs="微软雅黑"/>
      <w:color w:val="000000"/>
      <w:sz w:val="22"/>
      <w:szCs w:val="22"/>
      <w:u w:val="none"/>
    </w:rPr>
  </w:style>
  <w:style w:type="character" w:customStyle="1" w:styleId="16">
    <w:name w:val="font91"/>
    <w:basedOn w:val="9"/>
    <w:qFormat/>
    <w:uiPriority w:val="0"/>
    <w:rPr>
      <w:rFonts w:hint="eastAsia" w:ascii="宋体" w:hAnsi="宋体" w:eastAsia="宋体" w:cs="宋体"/>
      <w:color w:val="FF0000"/>
      <w:sz w:val="22"/>
      <w:szCs w:val="22"/>
      <w:u w:val="none"/>
    </w:rPr>
  </w:style>
  <w:style w:type="character" w:customStyle="1" w:styleId="17">
    <w:name w:val="页眉 Char"/>
    <w:basedOn w:val="9"/>
    <w:link w:val="4"/>
    <w:qFormat/>
    <w:uiPriority w:val="0"/>
    <w:rPr>
      <w:rFonts w:asciiTheme="minorHAnsi" w:hAnsiTheme="minorHAnsi" w:eastAsiaTheme="minorEastAsia" w:cstheme="minorBidi"/>
      <w:kern w:val="2"/>
      <w:sz w:val="18"/>
      <w:szCs w:val="18"/>
    </w:rPr>
  </w:style>
  <w:style w:type="character" w:customStyle="1" w:styleId="18">
    <w:name w:val="页脚 Char"/>
    <w:basedOn w:val="9"/>
    <w:link w:val="3"/>
    <w:qFormat/>
    <w:uiPriority w:val="0"/>
    <w:rPr>
      <w:rFonts w:asciiTheme="minorHAnsi" w:hAnsiTheme="minorHAnsi" w:eastAsiaTheme="minorEastAsia" w:cstheme="minorBidi"/>
      <w:kern w:val="2"/>
      <w:sz w:val="18"/>
      <w:szCs w:val="18"/>
    </w:rPr>
  </w:style>
  <w:style w:type="character" w:customStyle="1" w:styleId="19">
    <w:name w:val="font11"/>
    <w:basedOn w:val="9"/>
    <w:qFormat/>
    <w:uiPriority w:val="0"/>
    <w:rPr>
      <w:rFonts w:hint="eastAsia" w:ascii="宋体" w:hAnsi="宋体" w:eastAsia="宋体" w:cs="宋体"/>
      <w:color w:val="000000"/>
      <w:sz w:val="20"/>
      <w:szCs w:val="20"/>
      <w:u w:val="none"/>
    </w:rPr>
  </w:style>
  <w:style w:type="character" w:customStyle="1" w:styleId="20">
    <w:name w:val="font101"/>
    <w:basedOn w:val="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29</Pages>
  <Words>10745</Words>
  <Characters>13054</Characters>
  <Lines>66</Lines>
  <Paragraphs>18</Paragraphs>
  <TotalTime>2</TotalTime>
  <ScaleCrop>false</ScaleCrop>
  <LinksUpToDate>false</LinksUpToDate>
  <CharactersWithSpaces>13686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易晓璐</cp:lastModifiedBy>
  <cp:lastPrinted>2025-09-01T03:32:00Z</cp:lastPrinted>
  <dcterms:modified xsi:type="dcterms:W3CDTF">2025-11-04T06:04:03Z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BE62696D8D25430EB4979C673A7188CE_13</vt:lpwstr>
  </property>
  <property fmtid="{D5CDD505-2E9C-101B-9397-08002B2CF9AE}" pid="4" name="KSOTemplateDocerSaveRecord">
    <vt:lpwstr>eyJoZGlkIjoiNDMwZDg3ZDc4M2QyNWM1NDJhYmIyYzQ5YjJhZmMxZjkiLCJ1c2VySWQiOiI2NDEyNjgyMDAifQ==</vt:lpwstr>
  </property>
</Properties>
</file>